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92277" w14:textId="77777777" w:rsidR="002B45E6" w:rsidRDefault="002B45E6" w:rsidP="00850792">
      <w:pPr>
        <w:pStyle w:val="BodyText"/>
        <w:rPr>
          <w:sz w:val="6"/>
          <w:szCs w:val="6"/>
        </w:rPr>
      </w:pPr>
    </w:p>
    <w:p w14:paraId="209B81AE" w14:textId="7A060776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216F78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58E6D183" w:rsidR="00F92268" w:rsidRPr="00FF66BF" w:rsidRDefault="00A53FC3" w:rsidP="00216F78">
            <w:pPr>
              <w:pStyle w:val="RefTableData"/>
            </w:pPr>
            <w:r w:rsidRPr="00A53FC3">
              <w:t>2026-A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EE321E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7A5E80E3" w:rsidR="004B15BB" w:rsidRPr="00BD1CC1" w:rsidRDefault="00684284" w:rsidP="007E5C16">
      <w:pPr>
        <w:pStyle w:val="Heading1"/>
      </w:pPr>
      <w:r w:rsidRPr="00684284">
        <w:t>Specialty Guideline Management</w:t>
      </w:r>
      <w:r w:rsidRPr="00BD1CC1">
        <w:br/>
      </w:r>
      <w:r w:rsidRPr="00684284">
        <w:t>Prolia</w:t>
      </w:r>
      <w:r w:rsidR="007A3829">
        <w:t xml:space="preserve"> and Biosimilars</w:t>
      </w:r>
    </w:p>
    <w:p w14:paraId="78861C92" w14:textId="734C7120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4FC197A4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BC4DD6">
        <w:t>Over</w:t>
      </w:r>
      <w:r w:rsidR="00602623">
        <w:t>-</w:t>
      </w:r>
      <w:r w:rsidR="00BC4DD6">
        <w:t>the</w:t>
      </w:r>
      <w:r w:rsidR="00602623">
        <w:t>-</w:t>
      </w:r>
      <w:r w:rsidR="00BC4DD6">
        <w:t>counter (</w:t>
      </w:r>
      <w:r w:rsidRPr="00BD1CC1">
        <w:t>OTC</w:t>
      </w:r>
      <w:r w:rsidR="00BC4DD6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4147AF66" w:rsidR="00585FFF" w:rsidRPr="00BD1CC1" w:rsidRDefault="00684284" w:rsidP="00216F78">
            <w:pPr>
              <w:pStyle w:val="TableData"/>
              <w:spacing w:after="0"/>
            </w:pPr>
            <w:r w:rsidRPr="00684284">
              <w:t>Prolia</w:t>
            </w:r>
          </w:p>
        </w:tc>
        <w:tc>
          <w:tcPr>
            <w:tcW w:w="5595" w:type="dxa"/>
          </w:tcPr>
          <w:p w14:paraId="7E26A004" w14:textId="50F3D8FF" w:rsidR="00585FFF" w:rsidRPr="00BD1CC1" w:rsidRDefault="00684284" w:rsidP="00216F78">
            <w:pPr>
              <w:pStyle w:val="TableData"/>
              <w:spacing w:after="0"/>
            </w:pPr>
            <w:r w:rsidRPr="00684284">
              <w:t>denosumab</w:t>
            </w:r>
          </w:p>
        </w:tc>
      </w:tr>
      <w:tr w:rsidR="00B861CB" w:rsidRPr="00BD1CC1" w14:paraId="5D6D0B34" w14:textId="77777777" w:rsidTr="000C5A6F">
        <w:trPr>
          <w:cantSplit/>
        </w:trPr>
        <w:tc>
          <w:tcPr>
            <w:tcW w:w="5265" w:type="dxa"/>
          </w:tcPr>
          <w:p w14:paraId="3C3AE56B" w14:textId="4D5EBBAE" w:rsidR="00B861CB" w:rsidRPr="00684284" w:rsidRDefault="00B861CB" w:rsidP="00216F78">
            <w:pPr>
              <w:pStyle w:val="TableData"/>
              <w:spacing w:after="0"/>
            </w:pPr>
            <w:proofErr w:type="spellStart"/>
            <w:r>
              <w:t>Conexxence</w:t>
            </w:r>
            <w:proofErr w:type="spellEnd"/>
          </w:p>
        </w:tc>
        <w:tc>
          <w:tcPr>
            <w:tcW w:w="5595" w:type="dxa"/>
          </w:tcPr>
          <w:p w14:paraId="3A800C85" w14:textId="2AE42B3A" w:rsidR="00B861CB" w:rsidRPr="00684284" w:rsidRDefault="00B861CB" w:rsidP="00216F78">
            <w:pPr>
              <w:pStyle w:val="TableData"/>
              <w:spacing w:after="0"/>
            </w:pPr>
            <w:r>
              <w:t>denosumab-</w:t>
            </w:r>
            <w:proofErr w:type="spellStart"/>
            <w:r>
              <w:t>bnht</w:t>
            </w:r>
            <w:proofErr w:type="spellEnd"/>
          </w:p>
        </w:tc>
      </w:tr>
      <w:tr w:rsidR="00BF34A7" w:rsidRPr="00BD1CC1" w14:paraId="56571B42" w14:textId="77777777" w:rsidTr="000C5A6F">
        <w:trPr>
          <w:cantSplit/>
        </w:trPr>
        <w:tc>
          <w:tcPr>
            <w:tcW w:w="5265" w:type="dxa"/>
          </w:tcPr>
          <w:p w14:paraId="26B1F1F3" w14:textId="31FFB112" w:rsidR="00BF34A7" w:rsidRPr="00684284" w:rsidRDefault="00BF34A7" w:rsidP="00216F78">
            <w:pPr>
              <w:pStyle w:val="TableData"/>
              <w:spacing w:after="0"/>
            </w:pPr>
            <w:proofErr w:type="spellStart"/>
            <w:r>
              <w:t>Jubbonti</w:t>
            </w:r>
            <w:proofErr w:type="spellEnd"/>
          </w:p>
        </w:tc>
        <w:tc>
          <w:tcPr>
            <w:tcW w:w="5595" w:type="dxa"/>
          </w:tcPr>
          <w:p w14:paraId="139BAD61" w14:textId="3D3A625A" w:rsidR="00BF34A7" w:rsidRPr="00684284" w:rsidRDefault="00CC6462" w:rsidP="00216F78">
            <w:pPr>
              <w:pStyle w:val="TableData"/>
              <w:spacing w:after="0"/>
            </w:pPr>
            <w:r>
              <w:t>d</w:t>
            </w:r>
            <w:r w:rsidR="00BF34A7">
              <w:t>enosumab-</w:t>
            </w:r>
            <w:proofErr w:type="spellStart"/>
            <w:r w:rsidR="00BF34A7">
              <w:t>bbdz</w:t>
            </w:r>
            <w:proofErr w:type="spellEnd"/>
          </w:p>
        </w:tc>
      </w:tr>
      <w:tr w:rsidR="0010523B" w:rsidRPr="00BD1CC1" w14:paraId="5A01347A" w14:textId="77777777" w:rsidTr="000C5A6F">
        <w:trPr>
          <w:cantSplit/>
        </w:trPr>
        <w:tc>
          <w:tcPr>
            <w:tcW w:w="5265" w:type="dxa"/>
          </w:tcPr>
          <w:p w14:paraId="49B1E836" w14:textId="3F4BA9B1" w:rsidR="0010523B" w:rsidRDefault="0010523B" w:rsidP="0010523B">
            <w:pPr>
              <w:pStyle w:val="TableData"/>
              <w:spacing w:after="0"/>
            </w:pPr>
            <w:proofErr w:type="spellStart"/>
            <w:r>
              <w:t>Os</w:t>
            </w:r>
            <w:r w:rsidR="005651D8">
              <w:t>p</w:t>
            </w:r>
            <w:r>
              <w:t>omyv</w:t>
            </w:r>
            <w:proofErr w:type="spellEnd"/>
          </w:p>
        </w:tc>
        <w:tc>
          <w:tcPr>
            <w:tcW w:w="5595" w:type="dxa"/>
          </w:tcPr>
          <w:p w14:paraId="49263662" w14:textId="767918FF" w:rsidR="0010523B" w:rsidRDefault="0010523B" w:rsidP="0010523B">
            <w:pPr>
              <w:pStyle w:val="TableData"/>
              <w:spacing w:after="0"/>
            </w:pPr>
            <w:r>
              <w:t>denosumab-</w:t>
            </w:r>
            <w:proofErr w:type="spellStart"/>
            <w:r>
              <w:t>dssb</w:t>
            </w:r>
            <w:proofErr w:type="spellEnd"/>
          </w:p>
        </w:tc>
      </w:tr>
      <w:tr w:rsidR="0010523B" w:rsidRPr="00BD1CC1" w14:paraId="35748E82" w14:textId="77777777" w:rsidTr="000C5A6F">
        <w:trPr>
          <w:cantSplit/>
        </w:trPr>
        <w:tc>
          <w:tcPr>
            <w:tcW w:w="5265" w:type="dxa"/>
          </w:tcPr>
          <w:p w14:paraId="40CED996" w14:textId="705EF6B3" w:rsidR="0010523B" w:rsidRDefault="0010523B" w:rsidP="0010523B">
            <w:pPr>
              <w:pStyle w:val="TableData"/>
              <w:spacing w:after="0"/>
            </w:pPr>
            <w:proofErr w:type="spellStart"/>
            <w:r>
              <w:t>Stoboclo</w:t>
            </w:r>
            <w:proofErr w:type="spellEnd"/>
          </w:p>
        </w:tc>
        <w:tc>
          <w:tcPr>
            <w:tcW w:w="5595" w:type="dxa"/>
          </w:tcPr>
          <w:p w14:paraId="5A7E2C41" w14:textId="31B6B228" w:rsidR="0010523B" w:rsidRDefault="0010523B" w:rsidP="0010523B">
            <w:pPr>
              <w:pStyle w:val="TableData"/>
              <w:spacing w:after="0"/>
            </w:pPr>
            <w:r>
              <w:t>denosumab-</w:t>
            </w:r>
            <w:proofErr w:type="spellStart"/>
            <w:r>
              <w:t>bmwo</w:t>
            </w:r>
            <w:proofErr w:type="spellEnd"/>
          </w:p>
        </w:tc>
      </w:tr>
    </w:tbl>
    <w:bookmarkEnd w:id="0"/>
    <w:p w14:paraId="14CE6108" w14:textId="10997612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19172B99" w14:textId="11EE82DB" w:rsidR="00684284" w:rsidRPr="00684284" w:rsidRDefault="00684284" w:rsidP="00684284">
      <w:pPr>
        <w:pStyle w:val="BodyText"/>
      </w:pPr>
      <w:r w:rsidRPr="00684284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07EC42E5" w:rsidR="00ED052F" w:rsidRDefault="00ED052F" w:rsidP="00ED052F">
      <w:pPr>
        <w:pStyle w:val="Heading3"/>
        <w:keepNext w:val="0"/>
        <w:rPr>
          <w:vertAlign w:val="superscript"/>
        </w:rPr>
      </w:pPr>
      <w:r w:rsidRPr="00BD1CC1">
        <w:t>FDA-</w:t>
      </w:r>
      <w:r w:rsidR="006A0004">
        <w:t>A</w:t>
      </w:r>
      <w:r w:rsidRPr="00BD1CC1">
        <w:t>pproved Indications</w:t>
      </w:r>
      <w:r w:rsidR="00684284" w:rsidRPr="00684284">
        <w:rPr>
          <w:vertAlign w:val="superscript"/>
        </w:rPr>
        <w:t>1</w:t>
      </w:r>
      <w:r w:rsidR="00476C25">
        <w:rPr>
          <w:vertAlign w:val="superscript"/>
        </w:rPr>
        <w:t>-</w:t>
      </w:r>
      <w:r w:rsidR="00B861CB">
        <w:rPr>
          <w:vertAlign w:val="superscript"/>
        </w:rPr>
        <w:t>5</w:t>
      </w:r>
    </w:p>
    <w:p w14:paraId="4931314F" w14:textId="7C6782E7" w:rsidR="00684284" w:rsidRPr="00192173" w:rsidRDefault="00684284" w:rsidP="00192173">
      <w:pPr>
        <w:pStyle w:val="ListParagraph"/>
        <w:numPr>
          <w:ilvl w:val="0"/>
          <w:numId w:val="28"/>
        </w:numPr>
        <w:contextualSpacing w:val="0"/>
      </w:pPr>
      <w:r w:rsidRPr="00192173">
        <w:t>Treatment of postmenopausal women with osteoporosis at high risk for fracture, defined as a history of osteoporotic fracture, or multiple risk factors for fracture; or patients who have failed or are intolerant to other available osteoporosis therapy.</w:t>
      </w:r>
    </w:p>
    <w:p w14:paraId="7F3D803B" w14:textId="524D88BE" w:rsidR="00684284" w:rsidRPr="00192173" w:rsidRDefault="00684284" w:rsidP="00192173">
      <w:pPr>
        <w:pStyle w:val="ListParagraph"/>
        <w:numPr>
          <w:ilvl w:val="0"/>
          <w:numId w:val="28"/>
        </w:numPr>
        <w:contextualSpacing w:val="0"/>
      </w:pPr>
      <w:r w:rsidRPr="00192173">
        <w:t>Treatment to increase bone mass in men with osteoporosis at high risk for fracture, defined as a history of osteoporotic fracture, or multiple risk factors for fracture; or patients who have failed or are intolerant to other available osteoporosis therapy.</w:t>
      </w:r>
    </w:p>
    <w:p w14:paraId="756D6425" w14:textId="65C1745D" w:rsidR="00684284" w:rsidRPr="00192173" w:rsidRDefault="00684284" w:rsidP="00192173">
      <w:pPr>
        <w:pStyle w:val="ListParagraph"/>
        <w:numPr>
          <w:ilvl w:val="0"/>
          <w:numId w:val="28"/>
        </w:numPr>
        <w:contextualSpacing w:val="0"/>
      </w:pPr>
      <w:r w:rsidRPr="00192173">
        <w:lastRenderedPageBreak/>
        <w:t>Treatment of glucocorticoid-induced osteoporosis in men and women at high risk of fracture who are either initiating or continuing systemic glucocorticoids in a daily dosage equivalent to 7.5 mg or greater of prednisone and expected to remain on glucocorticoids for at least 6 months.</w:t>
      </w:r>
    </w:p>
    <w:p w14:paraId="00A7E471" w14:textId="7F8AB927" w:rsidR="00684284" w:rsidRPr="00192173" w:rsidRDefault="00684284" w:rsidP="00192173">
      <w:pPr>
        <w:pStyle w:val="ListParagraph"/>
        <w:numPr>
          <w:ilvl w:val="0"/>
          <w:numId w:val="28"/>
        </w:numPr>
        <w:contextualSpacing w:val="0"/>
      </w:pPr>
      <w:r w:rsidRPr="00192173">
        <w:t>Treatment to increase bone mass in men at high risk for fracture receiving androgen deprivation therapy</w:t>
      </w:r>
      <w:r w:rsidR="00F2494B">
        <w:t xml:space="preserve"> (ADT)</w:t>
      </w:r>
      <w:r w:rsidRPr="00192173">
        <w:t xml:space="preserve"> for nonmetastatic prostate cancer.</w:t>
      </w:r>
    </w:p>
    <w:p w14:paraId="4C434745" w14:textId="2C7A4F05" w:rsidR="00ED052F" w:rsidRPr="00192173" w:rsidRDefault="00684284" w:rsidP="00192173">
      <w:pPr>
        <w:pStyle w:val="ListParagraph"/>
        <w:numPr>
          <w:ilvl w:val="0"/>
          <w:numId w:val="28"/>
        </w:numPr>
        <w:contextualSpacing w:val="0"/>
      </w:pPr>
      <w:r w:rsidRPr="00192173">
        <w:t>Treatment to increase bone mass in women at high risk for fracture receiving adjuvant aromatase inhibitor therapy for breast cancer.</w:t>
      </w:r>
    </w:p>
    <w:p w14:paraId="0B5EC236" w14:textId="0DCEFFF2" w:rsidR="0044763A" w:rsidRPr="00100B91" w:rsidRDefault="009F2EF1" w:rsidP="0044763A">
      <w:pPr>
        <w:pStyle w:val="Heading3"/>
      </w:pPr>
      <w:r>
        <w:t>Compendial Uses</w:t>
      </w:r>
      <w:r w:rsidR="00B861CB">
        <w:rPr>
          <w:vertAlign w:val="superscript"/>
        </w:rPr>
        <w:t>6</w:t>
      </w:r>
    </w:p>
    <w:p w14:paraId="015EFDCA" w14:textId="48B6AE6D" w:rsidR="00684284" w:rsidRPr="00A36EB0" w:rsidRDefault="00690C94" w:rsidP="00A36EB0">
      <w:pPr>
        <w:pStyle w:val="ListParagraph"/>
        <w:numPr>
          <w:ilvl w:val="0"/>
          <w:numId w:val="29"/>
        </w:numPr>
        <w:contextualSpacing w:val="0"/>
      </w:pPr>
      <w:r>
        <w:t>For treatment</w:t>
      </w:r>
      <w:r w:rsidR="00642302">
        <w:t xml:space="preserve">-related bone loss in </w:t>
      </w:r>
      <w:r w:rsidR="006F4705">
        <w:t>patients with prostate cancer</w:t>
      </w:r>
      <w:r w:rsidR="00642302">
        <w:t xml:space="preserve"> receiving</w:t>
      </w:r>
      <w:r w:rsidR="00684284" w:rsidRPr="00A36EB0">
        <w:t xml:space="preserve"> androgen deprivation therapy</w:t>
      </w:r>
      <w:r w:rsidR="00D63FE1">
        <w:t xml:space="preserve"> (ADT)</w:t>
      </w:r>
      <w:r w:rsidR="00F2494B">
        <w:t>.</w:t>
      </w:r>
    </w:p>
    <w:p w14:paraId="6E8D0B4C" w14:textId="4FDC9D1C" w:rsidR="0040035F" w:rsidRPr="00A36EB0" w:rsidRDefault="005571FE" w:rsidP="00A36EB0">
      <w:pPr>
        <w:pStyle w:val="ListParagraph"/>
        <w:numPr>
          <w:ilvl w:val="0"/>
          <w:numId w:val="29"/>
        </w:numPr>
        <w:contextualSpacing w:val="0"/>
      </w:pPr>
      <w:r>
        <w:t>Treatment</w:t>
      </w:r>
      <w:r w:rsidR="00684284" w:rsidRPr="00A36EB0">
        <w:t xml:space="preserve"> in postmenopausal (natural or induced) patients</w:t>
      </w:r>
      <w:r w:rsidR="00900A95">
        <w:t xml:space="preserve"> with breast cancer</w:t>
      </w:r>
      <w:r w:rsidR="00684284" w:rsidRPr="00A36EB0">
        <w:t xml:space="preserve"> receiving adjuvant aromatase inhibition therapy to maintain or improve bone mineral density and reduce risk of fractures</w:t>
      </w:r>
      <w:r w:rsidR="00F2494B">
        <w:t>.</w:t>
      </w:r>
    </w:p>
    <w:p w14:paraId="0D5A9DD5" w14:textId="68A17980" w:rsidR="009A5649" w:rsidRPr="00BD1CC1" w:rsidRDefault="00684284" w:rsidP="00A36EB0">
      <w:pPr>
        <w:pStyle w:val="BodyText"/>
        <w:rPr>
          <w:rFonts w:eastAsia="Arial"/>
        </w:rPr>
      </w:pPr>
      <w:r w:rsidRPr="00684284">
        <w:t xml:space="preserve">All other indications are </w:t>
      </w:r>
      <w:r w:rsidRPr="00A36EB0">
        <w:t>considered</w:t>
      </w:r>
      <w:r w:rsidRPr="00684284">
        <w:t xml:space="preserve"> experimental/investigational and not medically necessary.</w:t>
      </w:r>
    </w:p>
    <w:p w14:paraId="36381B6D" w14:textId="517A814C" w:rsidR="000D2496" w:rsidRPr="00BD1CC1" w:rsidRDefault="000D2496" w:rsidP="000D2496">
      <w:pPr>
        <w:pStyle w:val="Heading2"/>
      </w:pPr>
      <w:r w:rsidRPr="00BD1CC1">
        <w:t>Documentation</w:t>
      </w:r>
    </w:p>
    <w:p w14:paraId="395BBAFD" w14:textId="57224D03" w:rsidR="00051B17" w:rsidRDefault="005571FE" w:rsidP="002E08EF">
      <w:pPr>
        <w:pStyle w:val="Heading3"/>
      </w:pPr>
      <w:r>
        <w:t>P</w:t>
      </w:r>
      <w:r w:rsidR="00203D07">
        <w:t xml:space="preserve">ostmenopausal </w:t>
      </w:r>
      <w:r w:rsidR="00AA3A2A">
        <w:t>O</w:t>
      </w:r>
      <w:r w:rsidR="00203D07">
        <w:t xml:space="preserve">steoporosis, </w:t>
      </w:r>
      <w:r w:rsidR="00AA3A2A">
        <w:t>O</w:t>
      </w:r>
      <w:r w:rsidR="00203D07">
        <w:t xml:space="preserve">steoporosis in </w:t>
      </w:r>
      <w:r w:rsidR="00AA3A2A">
        <w:t>M</w:t>
      </w:r>
      <w:r w:rsidR="00203D07">
        <w:t xml:space="preserve">en, </w:t>
      </w:r>
      <w:r w:rsidR="00AA3A2A">
        <w:t>G</w:t>
      </w:r>
      <w:r w:rsidR="00203D07">
        <w:t>lucocorticoid-</w:t>
      </w:r>
      <w:r w:rsidR="00AA3A2A">
        <w:t>I</w:t>
      </w:r>
      <w:r w:rsidR="00203D07">
        <w:t xml:space="preserve">nduced </w:t>
      </w:r>
      <w:r w:rsidR="00AA3A2A">
        <w:t>O</w:t>
      </w:r>
      <w:r w:rsidR="00203D07">
        <w:t>steoporosis</w:t>
      </w:r>
    </w:p>
    <w:p w14:paraId="2180ED6E" w14:textId="1E132E3F" w:rsidR="000D2496" w:rsidRDefault="005571FE" w:rsidP="00A36EB0">
      <w:pPr>
        <w:pStyle w:val="BodyText"/>
      </w:pPr>
      <w:r>
        <w:t>C</w:t>
      </w:r>
      <w:r w:rsidR="00684284" w:rsidRPr="00A36EB0">
        <w:t xml:space="preserve">hart notes or medical record </w:t>
      </w:r>
      <w:r w:rsidR="002B2F5E">
        <w:t xml:space="preserve">documentation </w:t>
      </w:r>
      <w:r w:rsidR="00684284" w:rsidRPr="00A36EB0">
        <w:t>indicating a history of fractures, T-score, and F</w:t>
      </w:r>
      <w:r>
        <w:t xml:space="preserve">racture </w:t>
      </w:r>
      <w:r w:rsidR="00684284" w:rsidRPr="00A36EB0">
        <w:t>R</w:t>
      </w:r>
      <w:r>
        <w:t xml:space="preserve">isk </w:t>
      </w:r>
      <w:r w:rsidR="00684284" w:rsidRPr="00A36EB0">
        <w:t>A</w:t>
      </w:r>
      <w:r>
        <w:t>ssessment Tool (FRA</w:t>
      </w:r>
      <w:r w:rsidR="00684284" w:rsidRPr="00A36EB0">
        <w:t>X</w:t>
      </w:r>
      <w:r>
        <w:t>)</w:t>
      </w:r>
      <w:r w:rsidR="00684284" w:rsidRPr="00A36EB0">
        <w:t xml:space="preserve"> fracture probability</w:t>
      </w:r>
      <w:r>
        <w:t xml:space="preserve"> (if</w:t>
      </w:r>
      <w:r w:rsidR="000327FA">
        <w:t xml:space="preserve"> applicable</w:t>
      </w:r>
      <w:r>
        <w:t>)</w:t>
      </w:r>
      <w:r w:rsidR="00040A4D">
        <w:t>.</w:t>
      </w:r>
    </w:p>
    <w:p w14:paraId="27668C3B" w14:textId="773EA5AB" w:rsidR="00203D07" w:rsidRPr="0011560F" w:rsidRDefault="00203D07" w:rsidP="00203D07">
      <w:pPr>
        <w:pStyle w:val="Heading3"/>
      </w:pPr>
      <w:r w:rsidRPr="0011560F">
        <w:t xml:space="preserve">Prostate </w:t>
      </w:r>
      <w:r w:rsidR="00AA3A2A">
        <w:t>C</w:t>
      </w:r>
      <w:r w:rsidRPr="0011560F">
        <w:t>ancer</w:t>
      </w:r>
    </w:p>
    <w:p w14:paraId="241E75E6" w14:textId="0B918B91" w:rsidR="00203D07" w:rsidRPr="0011560F" w:rsidRDefault="00203D07" w:rsidP="00203D07">
      <w:pPr>
        <w:pStyle w:val="BodyText"/>
      </w:pPr>
      <w:r w:rsidRPr="0011560F">
        <w:t>Chart notes, medical record documentation</w:t>
      </w:r>
      <w:r w:rsidR="005571FE" w:rsidRPr="0011560F">
        <w:t xml:space="preserve">, or claims history </w:t>
      </w:r>
      <w:r w:rsidRPr="0011560F">
        <w:t xml:space="preserve">supporting </w:t>
      </w:r>
      <w:r w:rsidR="00E971D5" w:rsidRPr="0011560F">
        <w:t xml:space="preserve">use of </w:t>
      </w:r>
      <w:r w:rsidRPr="0011560F">
        <w:t>androgen deprivation therapy</w:t>
      </w:r>
      <w:r w:rsidR="00455535" w:rsidRPr="002E08EF">
        <w:t xml:space="preserve"> (ADT).</w:t>
      </w:r>
    </w:p>
    <w:p w14:paraId="3F9DB074" w14:textId="0955BFC9" w:rsidR="00203D07" w:rsidRPr="0011560F" w:rsidRDefault="00203D07" w:rsidP="00203D07">
      <w:pPr>
        <w:pStyle w:val="Heading3"/>
      </w:pPr>
      <w:r w:rsidRPr="0011560F">
        <w:t xml:space="preserve">Breast </w:t>
      </w:r>
      <w:r w:rsidR="00AA3A2A">
        <w:t>C</w:t>
      </w:r>
      <w:r w:rsidRPr="0011560F">
        <w:t>ancer</w:t>
      </w:r>
    </w:p>
    <w:p w14:paraId="712705A8" w14:textId="53E96432" w:rsidR="00203D07" w:rsidRPr="00A36EB0" w:rsidRDefault="00203D07" w:rsidP="00A36EB0">
      <w:pPr>
        <w:pStyle w:val="BodyText"/>
      </w:pPr>
      <w:r w:rsidRPr="0011560F">
        <w:t>Chart notes, medical record documentation</w:t>
      </w:r>
      <w:r w:rsidR="00E9178A" w:rsidRPr="0011560F">
        <w:t xml:space="preserve">, or claims history </w:t>
      </w:r>
      <w:r w:rsidRPr="0011560F">
        <w:t xml:space="preserve">supporting </w:t>
      </w:r>
      <w:r w:rsidR="00E9178A" w:rsidRPr="0011560F">
        <w:t xml:space="preserve">use of </w:t>
      </w:r>
      <w:r w:rsidRPr="0011560F">
        <w:t>aromatase inhibition therapy.</w:t>
      </w:r>
    </w:p>
    <w:p w14:paraId="50A38FBA" w14:textId="4040AF3A" w:rsidR="00FE0C63" w:rsidRPr="00100B91" w:rsidRDefault="00685107" w:rsidP="00E050E1">
      <w:pPr>
        <w:pStyle w:val="Heading2"/>
      </w:pPr>
      <w:r>
        <w:lastRenderedPageBreak/>
        <w:t>Coverage Criteria</w:t>
      </w:r>
    </w:p>
    <w:p w14:paraId="2944ED96" w14:textId="75302062" w:rsidR="00684284" w:rsidRPr="00684284" w:rsidRDefault="00684284" w:rsidP="00684284">
      <w:pPr>
        <w:pStyle w:val="Heading3"/>
      </w:pPr>
      <w:r w:rsidRPr="00684284">
        <w:t xml:space="preserve">Postmenopausal </w:t>
      </w:r>
      <w:r w:rsidR="006A0004">
        <w:t>O</w:t>
      </w:r>
      <w:r w:rsidRPr="00684284">
        <w:t>steoporosis</w:t>
      </w:r>
      <w:r w:rsidRPr="00684284">
        <w:rPr>
          <w:vertAlign w:val="superscript"/>
        </w:rPr>
        <w:t>1</w:t>
      </w:r>
      <w:r w:rsidR="00476C25">
        <w:rPr>
          <w:vertAlign w:val="superscript"/>
        </w:rPr>
        <w:t>-</w:t>
      </w:r>
      <w:r w:rsidR="00B861CB">
        <w:rPr>
          <w:vertAlign w:val="superscript"/>
        </w:rPr>
        <w:t>5</w:t>
      </w:r>
      <w:r w:rsidR="00317F21">
        <w:rPr>
          <w:vertAlign w:val="superscript"/>
        </w:rPr>
        <w:t>,</w:t>
      </w:r>
      <w:r w:rsidR="00B861CB">
        <w:rPr>
          <w:vertAlign w:val="superscript"/>
        </w:rPr>
        <w:t>7</w:t>
      </w:r>
      <w:r w:rsidRPr="00684284">
        <w:rPr>
          <w:vertAlign w:val="superscript"/>
        </w:rPr>
        <w:t>-</w:t>
      </w:r>
      <w:r w:rsidR="00B861CB">
        <w:rPr>
          <w:vertAlign w:val="superscript"/>
        </w:rPr>
        <w:t>9</w:t>
      </w:r>
    </w:p>
    <w:p w14:paraId="545B5E32" w14:textId="77777777" w:rsidR="00684284" w:rsidRPr="00684284" w:rsidRDefault="00684284" w:rsidP="00A36EB0">
      <w:pPr>
        <w:pStyle w:val="BodyText"/>
      </w:pPr>
      <w:r w:rsidRPr="00684284">
        <w:t>Authorization of 12 months may be granted to postmenopausal members with osteoporosis when EITHER of the following criteria is met:</w:t>
      </w:r>
    </w:p>
    <w:p w14:paraId="503981AD" w14:textId="79A43BD6" w:rsidR="00684284" w:rsidRPr="00A36EB0" w:rsidRDefault="00684284" w:rsidP="00A36EB0">
      <w:pPr>
        <w:pStyle w:val="ListParagraph"/>
        <w:numPr>
          <w:ilvl w:val="0"/>
          <w:numId w:val="30"/>
        </w:numPr>
        <w:contextualSpacing w:val="0"/>
      </w:pPr>
      <w:r w:rsidRPr="00A36EB0">
        <w:t>Member has a history of fragility fractures</w:t>
      </w:r>
      <w:r w:rsidR="00480F2C">
        <w:t xml:space="preserve"> (e.g.,</w:t>
      </w:r>
      <w:r w:rsidR="00AD6DCA">
        <w:t xml:space="preserve"> low trauma fracture from force similar to a fall from standing position).</w:t>
      </w:r>
    </w:p>
    <w:p w14:paraId="493097B3" w14:textId="7B6F7DE8" w:rsidR="00684284" w:rsidRPr="00A36EB0" w:rsidRDefault="00684284" w:rsidP="00A36EB0">
      <w:pPr>
        <w:pStyle w:val="ListParagraph"/>
        <w:numPr>
          <w:ilvl w:val="0"/>
          <w:numId w:val="30"/>
        </w:numPr>
        <w:contextualSpacing w:val="0"/>
      </w:pPr>
      <w:r w:rsidRPr="00A36EB0">
        <w:t>Member has a pre-treatment T-score less than or equal to -2.5 OR member has osteopenia (i.e., pre-treatment T-score greater than -2.5 and less than -1) with a high pre-treatment FRAX fracture probability (</w:t>
      </w:r>
      <w:r w:rsidR="00F2494B">
        <w:t>s</w:t>
      </w:r>
      <w:r w:rsidRPr="00A36EB0">
        <w:t>ee Appendix B) and meets ANY of the following criteria:</w:t>
      </w:r>
    </w:p>
    <w:p w14:paraId="68387D4D" w14:textId="77777777" w:rsidR="00684284" w:rsidRPr="00684284" w:rsidRDefault="00684284" w:rsidP="001D269F">
      <w:pPr>
        <w:pStyle w:val="ListParagraph"/>
        <w:numPr>
          <w:ilvl w:val="1"/>
          <w:numId w:val="21"/>
        </w:numPr>
        <w:contextualSpacing w:val="0"/>
      </w:pPr>
      <w:r w:rsidRPr="00684284">
        <w:t>Member has indicators of very high fracture risk (e.g., advanced age, frailty, glucocorticoid use, very low T-scores [less than or equal to -3], or increased fall risk)</w:t>
      </w:r>
    </w:p>
    <w:p w14:paraId="5A2BD38E" w14:textId="2C987DA6" w:rsidR="00684284" w:rsidRPr="00684284" w:rsidRDefault="00684284" w:rsidP="001D269F">
      <w:pPr>
        <w:pStyle w:val="ListParagraph"/>
        <w:numPr>
          <w:ilvl w:val="1"/>
          <w:numId w:val="21"/>
        </w:numPr>
        <w:contextualSpacing w:val="0"/>
      </w:pPr>
      <w:r w:rsidRPr="00684284">
        <w:t>Member has failed prior treatment with or is intolerant to previous injectable osteoporosis therapy (e.g., zoledronic acid [</w:t>
      </w:r>
      <w:proofErr w:type="spellStart"/>
      <w:r w:rsidRPr="00684284">
        <w:t>Reclast</w:t>
      </w:r>
      <w:proofErr w:type="spellEnd"/>
      <w:r w:rsidRPr="00684284">
        <w:t>], teriparatide [</w:t>
      </w:r>
      <w:proofErr w:type="spellStart"/>
      <w:r w:rsidRPr="00684284">
        <w:t>Forteo</w:t>
      </w:r>
      <w:proofErr w:type="spellEnd"/>
      <w:r w:rsidRPr="00684284">
        <w:t xml:space="preserve">], </w:t>
      </w:r>
      <w:proofErr w:type="spellStart"/>
      <w:r w:rsidRPr="00684284">
        <w:t>abaloparatide</w:t>
      </w:r>
      <w:proofErr w:type="spellEnd"/>
      <w:r w:rsidRPr="00684284">
        <w:t xml:space="preserve"> [Tymlos])</w:t>
      </w:r>
    </w:p>
    <w:p w14:paraId="1C5F2659" w14:textId="32C0F043" w:rsidR="00684284" w:rsidRPr="00684284" w:rsidRDefault="00684284" w:rsidP="001D269F">
      <w:pPr>
        <w:pStyle w:val="ListParagraph"/>
        <w:numPr>
          <w:ilvl w:val="1"/>
          <w:numId w:val="21"/>
        </w:numPr>
        <w:contextualSpacing w:val="0"/>
      </w:pPr>
      <w:r w:rsidRPr="00684284">
        <w:t>Member has had an oral bisphosphonate trial of at least 1-year duration or there is a clinical reason to avoid treatment with an oral bisphosphonate (see Appendix A)</w:t>
      </w:r>
    </w:p>
    <w:p w14:paraId="094EEDEA" w14:textId="4EC29DF4" w:rsidR="00684284" w:rsidRPr="00684284" w:rsidRDefault="00684284" w:rsidP="00684284">
      <w:pPr>
        <w:pStyle w:val="Heading3"/>
      </w:pPr>
      <w:r w:rsidRPr="00684284">
        <w:t xml:space="preserve">Osteoporosis in </w:t>
      </w:r>
      <w:r w:rsidR="006A0004">
        <w:t>M</w:t>
      </w:r>
      <w:r w:rsidRPr="00684284">
        <w:t>en</w:t>
      </w:r>
      <w:r w:rsidRPr="00684284">
        <w:rPr>
          <w:vertAlign w:val="superscript"/>
        </w:rPr>
        <w:t>1</w:t>
      </w:r>
      <w:r w:rsidR="00476C25">
        <w:rPr>
          <w:vertAlign w:val="superscript"/>
        </w:rPr>
        <w:t>-</w:t>
      </w:r>
      <w:r w:rsidR="00B861CB">
        <w:rPr>
          <w:vertAlign w:val="superscript"/>
        </w:rPr>
        <w:t>5</w:t>
      </w:r>
      <w:r w:rsidR="00476C25">
        <w:rPr>
          <w:vertAlign w:val="superscript"/>
        </w:rPr>
        <w:t>,</w:t>
      </w:r>
      <w:r w:rsidR="00B861CB">
        <w:rPr>
          <w:vertAlign w:val="superscript"/>
        </w:rPr>
        <w:t>7</w:t>
      </w:r>
      <w:r w:rsidRPr="00684284">
        <w:rPr>
          <w:vertAlign w:val="superscript"/>
        </w:rPr>
        <w:t>,</w:t>
      </w:r>
      <w:r w:rsidR="00D7708C">
        <w:rPr>
          <w:vertAlign w:val="superscript"/>
        </w:rPr>
        <w:t>10</w:t>
      </w:r>
      <w:r w:rsidRPr="00684284">
        <w:rPr>
          <w:vertAlign w:val="superscript"/>
        </w:rPr>
        <w:t>,</w:t>
      </w:r>
      <w:r w:rsidR="00B861CB">
        <w:rPr>
          <w:vertAlign w:val="superscript"/>
        </w:rPr>
        <w:t>1</w:t>
      </w:r>
      <w:r w:rsidR="00D7708C">
        <w:rPr>
          <w:vertAlign w:val="superscript"/>
        </w:rPr>
        <w:t>1</w:t>
      </w:r>
    </w:p>
    <w:p w14:paraId="3409EBB9" w14:textId="77777777" w:rsidR="00684284" w:rsidRPr="00684284" w:rsidRDefault="00684284" w:rsidP="001D269F">
      <w:pPr>
        <w:pStyle w:val="BodyText"/>
      </w:pPr>
      <w:r w:rsidRPr="00684284">
        <w:t>Authorization of 12 months may be granted to male members with osteoporosis when EITHER of the following criteria is met:</w:t>
      </w:r>
    </w:p>
    <w:p w14:paraId="7BA4D725" w14:textId="77777777" w:rsidR="00684284" w:rsidRPr="001D269F" w:rsidRDefault="00684284" w:rsidP="001D269F">
      <w:pPr>
        <w:pStyle w:val="ListParagraph"/>
        <w:numPr>
          <w:ilvl w:val="0"/>
          <w:numId w:val="31"/>
        </w:numPr>
        <w:contextualSpacing w:val="0"/>
      </w:pPr>
      <w:r w:rsidRPr="001D269F">
        <w:t>Member has a history of an osteoporotic vertebral or hip fracture</w:t>
      </w:r>
    </w:p>
    <w:p w14:paraId="7DDE9675" w14:textId="77777777" w:rsidR="00684284" w:rsidRPr="001D269F" w:rsidRDefault="00684284" w:rsidP="001D269F">
      <w:pPr>
        <w:pStyle w:val="ListParagraph"/>
        <w:numPr>
          <w:ilvl w:val="0"/>
          <w:numId w:val="31"/>
        </w:numPr>
        <w:contextualSpacing w:val="0"/>
      </w:pPr>
      <w:r w:rsidRPr="001D269F">
        <w:t>Member meets BOTH of the following criteria:</w:t>
      </w:r>
    </w:p>
    <w:p w14:paraId="5F3EF59F" w14:textId="77777777" w:rsidR="00684284" w:rsidRPr="00684284" w:rsidRDefault="00684284" w:rsidP="001D269F">
      <w:pPr>
        <w:pStyle w:val="ListParagraph"/>
        <w:numPr>
          <w:ilvl w:val="1"/>
          <w:numId w:val="36"/>
        </w:numPr>
        <w:contextualSpacing w:val="0"/>
      </w:pPr>
      <w:r w:rsidRPr="00684284">
        <w:t>Member has a pre-treatment T-score less than or equal to -2.5 OR member has osteopenia (i.e., pre-treatment T-score greater than -2.5 and less than -1) with a high pre-treatment FRAX fracture probability (see Appendix B)</w:t>
      </w:r>
    </w:p>
    <w:p w14:paraId="799C02C9" w14:textId="6B3B2190" w:rsidR="00684284" w:rsidRPr="00684284" w:rsidRDefault="00684284" w:rsidP="001D269F">
      <w:pPr>
        <w:pStyle w:val="ListParagraph"/>
        <w:numPr>
          <w:ilvl w:val="1"/>
          <w:numId w:val="36"/>
        </w:numPr>
        <w:contextualSpacing w:val="0"/>
      </w:pPr>
      <w:r w:rsidRPr="00684284">
        <w:t xml:space="preserve">Member has had an oral </w:t>
      </w:r>
      <w:r w:rsidR="001B3649">
        <w:t>or</w:t>
      </w:r>
      <w:r w:rsidRPr="00684284">
        <w:t xml:space="preserve"> injectable bisphosphonate trial of at least 1-year duration OR there is a clinical reason to avoid treatment with a bisphosphonate (see Appendix A)</w:t>
      </w:r>
    </w:p>
    <w:p w14:paraId="7123C0CB" w14:textId="04160361" w:rsidR="00684284" w:rsidRPr="00684284" w:rsidRDefault="00684284" w:rsidP="00684284">
      <w:pPr>
        <w:pStyle w:val="Heading3"/>
      </w:pPr>
      <w:r w:rsidRPr="00684284">
        <w:t>Glucocorticoid-</w:t>
      </w:r>
      <w:r w:rsidR="006A0004">
        <w:t>I</w:t>
      </w:r>
      <w:r w:rsidRPr="00684284">
        <w:t xml:space="preserve">nduced </w:t>
      </w:r>
      <w:r w:rsidR="006A0004">
        <w:t>O</w:t>
      </w:r>
      <w:r w:rsidRPr="00684284">
        <w:t>steoporosis</w:t>
      </w:r>
      <w:r w:rsidRPr="00684284">
        <w:rPr>
          <w:vertAlign w:val="superscript"/>
        </w:rPr>
        <w:t>1</w:t>
      </w:r>
      <w:r w:rsidR="00476C25">
        <w:rPr>
          <w:vertAlign w:val="superscript"/>
        </w:rPr>
        <w:t>-</w:t>
      </w:r>
      <w:r w:rsidR="00B861CB">
        <w:rPr>
          <w:vertAlign w:val="superscript"/>
        </w:rPr>
        <w:t>5</w:t>
      </w:r>
      <w:r w:rsidR="00317F21">
        <w:rPr>
          <w:vertAlign w:val="superscript"/>
        </w:rPr>
        <w:t>,</w:t>
      </w:r>
      <w:r w:rsidR="00B861CB">
        <w:rPr>
          <w:vertAlign w:val="superscript"/>
        </w:rPr>
        <w:t>10</w:t>
      </w:r>
      <w:r w:rsidRPr="00684284">
        <w:rPr>
          <w:vertAlign w:val="superscript"/>
        </w:rPr>
        <w:t>,</w:t>
      </w:r>
      <w:r w:rsidR="00476C25">
        <w:rPr>
          <w:vertAlign w:val="superscript"/>
        </w:rPr>
        <w:t>1</w:t>
      </w:r>
      <w:r w:rsidR="00B861CB">
        <w:rPr>
          <w:vertAlign w:val="superscript"/>
        </w:rPr>
        <w:t>4</w:t>
      </w:r>
    </w:p>
    <w:p w14:paraId="03A81B9E" w14:textId="124A47E2" w:rsidR="00684284" w:rsidRPr="00684284" w:rsidRDefault="00684284" w:rsidP="001D269F">
      <w:pPr>
        <w:pStyle w:val="BodyText"/>
      </w:pPr>
      <w:r>
        <w:t xml:space="preserve">Authorization of 12 months may be granted </w:t>
      </w:r>
      <w:r w:rsidR="6E346B2B">
        <w:t>for</w:t>
      </w:r>
      <w:r>
        <w:t xml:space="preserve"> members with glucocorticoid-induced osteoporosis when ALL of the following criteria are met:</w:t>
      </w:r>
    </w:p>
    <w:p w14:paraId="63383737" w14:textId="77777777" w:rsidR="00684284" w:rsidRPr="001D269F" w:rsidRDefault="00684284" w:rsidP="001D269F">
      <w:pPr>
        <w:pStyle w:val="ListParagraph"/>
        <w:numPr>
          <w:ilvl w:val="0"/>
          <w:numId w:val="32"/>
        </w:numPr>
        <w:contextualSpacing w:val="0"/>
      </w:pPr>
      <w:r w:rsidRPr="001D269F">
        <w:t>Member is currently receiving or will be initiating glucocorticoid therapy at an equivalent prednisone dose of ≥ 2.5 mg/day for ≥ 3 months.</w:t>
      </w:r>
    </w:p>
    <w:p w14:paraId="7EAB295F" w14:textId="5AEA8649" w:rsidR="00684284" w:rsidRPr="001D269F" w:rsidRDefault="00684284" w:rsidP="7712EA45">
      <w:pPr>
        <w:pStyle w:val="ListParagraph"/>
      </w:pPr>
      <w:r>
        <w:t xml:space="preserve">Member has had an oral </w:t>
      </w:r>
      <w:r w:rsidR="00B8439F">
        <w:t>or</w:t>
      </w:r>
      <w:r>
        <w:t xml:space="preserve"> injectable bisphosphonate trial of at least 1-year duration OR there is a clinical reason to avoid treatment with a bisphosphonate (see Appendix A)</w:t>
      </w:r>
    </w:p>
    <w:p w14:paraId="075F0D0A" w14:textId="77777777" w:rsidR="00684284" w:rsidRPr="001D269F" w:rsidRDefault="00684284" w:rsidP="001D269F">
      <w:pPr>
        <w:pStyle w:val="ListParagraph"/>
        <w:numPr>
          <w:ilvl w:val="0"/>
          <w:numId w:val="32"/>
        </w:numPr>
        <w:contextualSpacing w:val="0"/>
      </w:pPr>
      <w:r w:rsidRPr="001D269F">
        <w:lastRenderedPageBreak/>
        <w:t>Member meets ANY of the following criteria:</w:t>
      </w:r>
    </w:p>
    <w:p w14:paraId="6483DEEB" w14:textId="7B67979E" w:rsidR="00684284" w:rsidRPr="00684284" w:rsidRDefault="00684284" w:rsidP="002E08EF">
      <w:pPr>
        <w:pStyle w:val="ListParagraph"/>
        <w:numPr>
          <w:ilvl w:val="1"/>
          <w:numId w:val="21"/>
        </w:numPr>
      </w:pPr>
      <w:r>
        <w:t>Member has a history of a fragility fracture</w:t>
      </w:r>
      <w:r w:rsidR="3953C352">
        <w:t xml:space="preserve"> </w:t>
      </w:r>
      <w:r w:rsidR="00AE6109">
        <w:t>(e.g., low trauma fracture from force similar to a fall from standing position).</w:t>
      </w:r>
    </w:p>
    <w:p w14:paraId="320BD69B" w14:textId="77777777" w:rsidR="00684284" w:rsidRPr="00684284" w:rsidRDefault="00684284" w:rsidP="001D269F">
      <w:pPr>
        <w:pStyle w:val="ListParagraph"/>
        <w:numPr>
          <w:ilvl w:val="1"/>
          <w:numId w:val="35"/>
        </w:numPr>
        <w:contextualSpacing w:val="0"/>
      </w:pPr>
      <w:r w:rsidRPr="00684284">
        <w:t>Member has a pre-treatment T-score less than or equal to -2.5</w:t>
      </w:r>
    </w:p>
    <w:p w14:paraId="03D39477" w14:textId="7A5F453B" w:rsidR="00684284" w:rsidRPr="00684284" w:rsidRDefault="00684284" w:rsidP="001D269F">
      <w:pPr>
        <w:pStyle w:val="ListParagraph"/>
        <w:numPr>
          <w:ilvl w:val="1"/>
          <w:numId w:val="35"/>
        </w:numPr>
        <w:contextualSpacing w:val="0"/>
      </w:pPr>
      <w:r w:rsidRPr="00684284">
        <w:t>Member has osteopenia (i.e., pre-treatment T-score greater than -2.5 and less than -1) with a high pre-treatment FRAX fracture probability (see Appendix B)</w:t>
      </w:r>
    </w:p>
    <w:p w14:paraId="3DD84D3D" w14:textId="2FC258AF" w:rsidR="00684284" w:rsidRPr="00684284" w:rsidRDefault="00684284" w:rsidP="006E1F2D">
      <w:pPr>
        <w:pStyle w:val="Heading3"/>
      </w:pPr>
      <w:r w:rsidRPr="00684284">
        <w:t xml:space="preserve">Prostate </w:t>
      </w:r>
      <w:r w:rsidR="006A0004">
        <w:t>C</w:t>
      </w:r>
      <w:r w:rsidRPr="00684284">
        <w:t>ancer</w:t>
      </w:r>
      <w:r w:rsidRPr="006E1F2D">
        <w:rPr>
          <w:vertAlign w:val="superscript"/>
        </w:rPr>
        <w:t>1</w:t>
      </w:r>
      <w:r w:rsidR="0010523B">
        <w:rPr>
          <w:vertAlign w:val="superscript"/>
        </w:rPr>
        <w:t>-</w:t>
      </w:r>
      <w:r w:rsidR="00B861CB">
        <w:rPr>
          <w:vertAlign w:val="superscript"/>
        </w:rPr>
        <w:t>6</w:t>
      </w:r>
      <w:r w:rsidRPr="006E1F2D">
        <w:rPr>
          <w:vertAlign w:val="superscript"/>
        </w:rPr>
        <w:t>,</w:t>
      </w:r>
      <w:r w:rsidR="00476C25">
        <w:rPr>
          <w:vertAlign w:val="superscript"/>
        </w:rPr>
        <w:t>1</w:t>
      </w:r>
      <w:r w:rsidR="00B861CB">
        <w:rPr>
          <w:vertAlign w:val="superscript"/>
        </w:rPr>
        <w:t>2</w:t>
      </w:r>
    </w:p>
    <w:p w14:paraId="33FCDD7D" w14:textId="1573D28C" w:rsidR="00BA0AFC" w:rsidRDefault="00684284" w:rsidP="00BA0AFC">
      <w:pPr>
        <w:pStyle w:val="BodyText"/>
      </w:pPr>
      <w:r w:rsidRPr="00684284">
        <w:t>Authorization of 12 months may be granted to members who are receiving androgen deprivation therapy</w:t>
      </w:r>
      <w:r w:rsidR="00F2494B">
        <w:t xml:space="preserve"> (ADT)</w:t>
      </w:r>
      <w:r w:rsidRPr="00684284">
        <w:t xml:space="preserve"> for prostate cancer.</w:t>
      </w:r>
    </w:p>
    <w:p w14:paraId="63693198" w14:textId="6323878E" w:rsidR="005E1D4D" w:rsidRPr="00684284" w:rsidRDefault="005E1D4D" w:rsidP="005E1D4D">
      <w:pPr>
        <w:pStyle w:val="Heading3"/>
      </w:pPr>
      <w:r w:rsidRPr="00684284">
        <w:t xml:space="preserve">Breast </w:t>
      </w:r>
      <w:r>
        <w:t>C</w:t>
      </w:r>
      <w:r w:rsidRPr="00684284">
        <w:t>ancer</w:t>
      </w:r>
      <w:r w:rsidRPr="006E1F2D">
        <w:rPr>
          <w:vertAlign w:val="superscript"/>
        </w:rPr>
        <w:t>1</w:t>
      </w:r>
      <w:r>
        <w:rPr>
          <w:vertAlign w:val="superscript"/>
        </w:rPr>
        <w:t>-</w:t>
      </w:r>
      <w:r w:rsidR="00B861CB">
        <w:rPr>
          <w:vertAlign w:val="superscript"/>
        </w:rPr>
        <w:t>6</w:t>
      </w:r>
      <w:r w:rsidRPr="006E1F2D">
        <w:rPr>
          <w:vertAlign w:val="superscript"/>
        </w:rPr>
        <w:t>,</w:t>
      </w:r>
      <w:r w:rsidR="00476C25">
        <w:rPr>
          <w:vertAlign w:val="superscript"/>
        </w:rPr>
        <w:t>1</w:t>
      </w:r>
      <w:r w:rsidR="00B861CB">
        <w:rPr>
          <w:vertAlign w:val="superscript"/>
        </w:rPr>
        <w:t>2</w:t>
      </w:r>
    </w:p>
    <w:p w14:paraId="32330585" w14:textId="51B6F50B" w:rsidR="005E1D4D" w:rsidRPr="00BA0AFC" w:rsidRDefault="005E1D4D" w:rsidP="00BA0AFC">
      <w:pPr>
        <w:pStyle w:val="BodyText"/>
      </w:pPr>
      <w:r w:rsidRPr="00684284">
        <w:t>Authorization of 12 months may be granted to members who are receiving adjuvant aromatase inhibition therapy for breast cancer.</w:t>
      </w:r>
    </w:p>
    <w:p w14:paraId="3A643EC3" w14:textId="1766C7BA" w:rsidR="00A501AC" w:rsidRPr="00BD1CC1" w:rsidRDefault="00A501AC" w:rsidP="00A501AC">
      <w:pPr>
        <w:pStyle w:val="Heading2"/>
      </w:pPr>
      <w:r w:rsidRPr="00BD1CC1">
        <w:t>Continuation of Therapy</w:t>
      </w:r>
      <w:r w:rsidR="006E1F2D" w:rsidRPr="00C91351">
        <w:rPr>
          <w:b w:val="0"/>
          <w:bCs w:val="0"/>
          <w:vertAlign w:val="superscript"/>
        </w:rPr>
        <w:t>1</w:t>
      </w:r>
      <w:r w:rsidR="00476C25">
        <w:rPr>
          <w:b w:val="0"/>
          <w:bCs w:val="0"/>
          <w:vertAlign w:val="superscript"/>
        </w:rPr>
        <w:t>-</w:t>
      </w:r>
      <w:r w:rsidR="00B861CB">
        <w:rPr>
          <w:b w:val="0"/>
          <w:bCs w:val="0"/>
          <w:vertAlign w:val="superscript"/>
        </w:rPr>
        <w:t>5</w:t>
      </w:r>
    </w:p>
    <w:p w14:paraId="68AC078E" w14:textId="77777777" w:rsidR="006E1F2D" w:rsidRDefault="006E1F2D" w:rsidP="001D269F">
      <w:pPr>
        <w:pStyle w:val="BodyText"/>
      </w:pPr>
      <w:r>
        <w:t xml:space="preserve">Authorization of 12 months may be granted for all members (including new members) who are currently receiving the requested </w:t>
      </w:r>
      <w:r w:rsidRPr="001D269F">
        <w:t>medication</w:t>
      </w:r>
      <w:r>
        <w:t xml:space="preserve"> through a previously authorized pharmacy or medical benefit, who meet either of the following:</w:t>
      </w:r>
    </w:p>
    <w:p w14:paraId="2AAAD0FE" w14:textId="6502027D" w:rsidR="006E1F2D" w:rsidRPr="001D269F" w:rsidRDefault="006E1F2D" w:rsidP="001D269F">
      <w:pPr>
        <w:pStyle w:val="ListParagraph"/>
        <w:numPr>
          <w:ilvl w:val="0"/>
          <w:numId w:val="33"/>
        </w:numPr>
        <w:contextualSpacing w:val="0"/>
      </w:pPr>
      <w:r w:rsidRPr="001D269F">
        <w:t>Member has received less than 24 months of therapy and has not experienced clinically significant adverse events during therapy</w:t>
      </w:r>
    </w:p>
    <w:p w14:paraId="76206428" w14:textId="2BCFCC9E" w:rsidR="006E1F2D" w:rsidRPr="001D269F" w:rsidRDefault="006E1F2D" w:rsidP="001D269F">
      <w:pPr>
        <w:pStyle w:val="ListParagraph"/>
        <w:numPr>
          <w:ilvl w:val="0"/>
          <w:numId w:val="33"/>
        </w:numPr>
        <w:contextualSpacing w:val="0"/>
      </w:pPr>
      <w:r w:rsidRPr="001D269F">
        <w:t>Member has received 24 months of therapy or more and meets both of the following:</w:t>
      </w:r>
    </w:p>
    <w:p w14:paraId="53AF4219" w14:textId="4B9AED8A" w:rsidR="006E1F2D" w:rsidRDefault="006E1F2D" w:rsidP="001D269F">
      <w:pPr>
        <w:pStyle w:val="ListParagraph"/>
        <w:widowControl w:val="0"/>
        <w:numPr>
          <w:ilvl w:val="1"/>
          <w:numId w:val="34"/>
        </w:numPr>
        <w:contextualSpacing w:val="0"/>
      </w:pPr>
      <w:r>
        <w:t>Member has experienced clinical benefit (i.e., improvement or stabilization in T-score since the previous bone mass measurement)</w:t>
      </w:r>
    </w:p>
    <w:p w14:paraId="32C8905D" w14:textId="49BF8B38" w:rsidR="00A501AC" w:rsidRPr="003D46B0" w:rsidRDefault="006E1F2D" w:rsidP="001D269F">
      <w:pPr>
        <w:pStyle w:val="ListParagraph"/>
        <w:widowControl w:val="0"/>
        <w:numPr>
          <w:ilvl w:val="1"/>
          <w:numId w:val="34"/>
        </w:numPr>
        <w:contextualSpacing w:val="0"/>
      </w:pPr>
      <w:r>
        <w:t>Member has not experienced any adverse effects</w:t>
      </w:r>
    </w:p>
    <w:p w14:paraId="784D6ED7" w14:textId="559D82F4" w:rsidR="008B1332" w:rsidRPr="00BD1CC1" w:rsidRDefault="008B1332" w:rsidP="008B1332">
      <w:pPr>
        <w:pStyle w:val="Heading2"/>
      </w:pPr>
      <w:r w:rsidRPr="00BD1CC1">
        <w:t>Appendi</w:t>
      </w:r>
      <w:r w:rsidR="001E0C7D">
        <w:t>x</w:t>
      </w:r>
    </w:p>
    <w:p w14:paraId="251D4FFB" w14:textId="6BB91DD1" w:rsidR="006E1F2D" w:rsidRPr="006E1F2D" w:rsidRDefault="006E1F2D" w:rsidP="006E1F2D">
      <w:pPr>
        <w:pStyle w:val="Heading3"/>
      </w:pPr>
      <w:r w:rsidRPr="006E1F2D">
        <w:t>Appendix A</w:t>
      </w:r>
      <w:r w:rsidR="00C428B2">
        <w:t>:</w:t>
      </w:r>
      <w:r w:rsidRPr="006E1F2D">
        <w:t xml:space="preserve"> Clinical </w:t>
      </w:r>
      <w:r w:rsidR="006A0004">
        <w:t>R</w:t>
      </w:r>
      <w:r w:rsidRPr="006E1F2D">
        <w:t xml:space="preserve">easons to </w:t>
      </w:r>
      <w:r w:rsidR="006A0004">
        <w:t>A</w:t>
      </w:r>
      <w:r w:rsidRPr="006E1F2D">
        <w:t xml:space="preserve">void </w:t>
      </w:r>
      <w:r w:rsidR="006A0004">
        <w:t>O</w:t>
      </w:r>
      <w:r w:rsidRPr="006E1F2D">
        <w:t xml:space="preserve">ral </w:t>
      </w:r>
      <w:r w:rsidR="006A0004">
        <w:t>B</w:t>
      </w:r>
      <w:r w:rsidRPr="006E1F2D">
        <w:t xml:space="preserve">isphosphonate </w:t>
      </w:r>
      <w:r w:rsidR="006A0004">
        <w:t>T</w:t>
      </w:r>
      <w:r w:rsidRPr="006E1F2D">
        <w:t>herapy</w:t>
      </w:r>
      <w:r w:rsidR="00B861CB">
        <w:rPr>
          <w:vertAlign w:val="superscript"/>
        </w:rPr>
        <w:t>9</w:t>
      </w:r>
      <w:r w:rsidRPr="006E1F2D">
        <w:rPr>
          <w:vertAlign w:val="superscript"/>
        </w:rPr>
        <w:t>,1</w:t>
      </w:r>
      <w:r w:rsidR="00B861CB">
        <w:rPr>
          <w:vertAlign w:val="superscript"/>
        </w:rPr>
        <w:t>5</w:t>
      </w:r>
    </w:p>
    <w:p w14:paraId="70921531" w14:textId="77777777" w:rsidR="006E1F2D" w:rsidRPr="006E1F2D" w:rsidRDefault="006E1F2D" w:rsidP="00042D18">
      <w:pPr>
        <w:pStyle w:val="ListParagraph"/>
        <w:numPr>
          <w:ilvl w:val="0"/>
          <w:numId w:val="34"/>
        </w:numPr>
        <w:contextualSpacing w:val="0"/>
      </w:pPr>
      <w:r w:rsidRPr="006E1F2D">
        <w:t>Presence of anatomic or functional esophageal abnormalities that might delay transit of the tablet (e.g., achalasia, stricture, or dysmotility)</w:t>
      </w:r>
    </w:p>
    <w:p w14:paraId="2F43DDCE" w14:textId="77777777" w:rsidR="006E1F2D" w:rsidRPr="006E1F2D" w:rsidRDefault="006E1F2D" w:rsidP="00042D18">
      <w:pPr>
        <w:pStyle w:val="ListParagraph"/>
        <w:numPr>
          <w:ilvl w:val="0"/>
          <w:numId w:val="34"/>
        </w:numPr>
        <w:contextualSpacing w:val="0"/>
      </w:pPr>
      <w:r w:rsidRPr="006E1F2D">
        <w:t>Active upper gastrointestinal problem (e.g., dysphagia, gastritis, duodenitis, erosive esophagitis, ulcers)</w:t>
      </w:r>
    </w:p>
    <w:p w14:paraId="59A0FBFB" w14:textId="77777777" w:rsidR="006E1F2D" w:rsidRPr="006E1F2D" w:rsidRDefault="006E1F2D" w:rsidP="00042D18">
      <w:pPr>
        <w:pStyle w:val="ListParagraph"/>
        <w:numPr>
          <w:ilvl w:val="0"/>
          <w:numId w:val="34"/>
        </w:numPr>
        <w:contextualSpacing w:val="0"/>
      </w:pPr>
      <w:r w:rsidRPr="006E1F2D">
        <w:lastRenderedPageBreak/>
        <w:t>Presence of documented or potential gastrointestinal malabsorption (e.g., gastric bypass procedures, celiac disease, Crohn’s disease, infiltrative disorders)</w:t>
      </w:r>
    </w:p>
    <w:p w14:paraId="0FEFA55A" w14:textId="77777777" w:rsidR="006E1F2D" w:rsidRPr="006E1F2D" w:rsidRDefault="006E1F2D" w:rsidP="00042D18">
      <w:pPr>
        <w:pStyle w:val="ListParagraph"/>
        <w:numPr>
          <w:ilvl w:val="0"/>
          <w:numId w:val="34"/>
        </w:numPr>
        <w:contextualSpacing w:val="0"/>
      </w:pPr>
      <w:r w:rsidRPr="006E1F2D">
        <w:t>Inability to stand or sit upright for at least 30 to 60 minutes</w:t>
      </w:r>
    </w:p>
    <w:p w14:paraId="77A72703" w14:textId="77777777" w:rsidR="006E1F2D" w:rsidRPr="006E1F2D" w:rsidRDefault="006E1F2D" w:rsidP="00042D18">
      <w:pPr>
        <w:pStyle w:val="ListParagraph"/>
        <w:numPr>
          <w:ilvl w:val="0"/>
          <w:numId w:val="34"/>
        </w:numPr>
        <w:contextualSpacing w:val="0"/>
      </w:pPr>
      <w:r w:rsidRPr="006E1F2D">
        <w:t>Inability to take oral bisphosphonate at least 30 to 60 minutes before first food, drink, or medication of the day</w:t>
      </w:r>
    </w:p>
    <w:p w14:paraId="62909C91" w14:textId="48CABA65" w:rsidR="006E1F2D" w:rsidRPr="006E1F2D" w:rsidRDefault="006E1F2D" w:rsidP="00042D18">
      <w:pPr>
        <w:pStyle w:val="ListParagraph"/>
        <w:numPr>
          <w:ilvl w:val="0"/>
          <w:numId w:val="34"/>
        </w:numPr>
        <w:contextualSpacing w:val="0"/>
      </w:pPr>
      <w:r w:rsidRPr="006E1F2D">
        <w:t>Renal insufficiency (creatinine clearance &lt;</w:t>
      </w:r>
      <w:r w:rsidR="00826B7A">
        <w:t xml:space="preserve"> </w:t>
      </w:r>
      <w:r w:rsidRPr="006E1F2D">
        <w:t>35 mL/min)</w:t>
      </w:r>
    </w:p>
    <w:p w14:paraId="26DFB147" w14:textId="5DE981AB" w:rsidR="006E1F2D" w:rsidRPr="006E1F2D" w:rsidRDefault="006E1F2D" w:rsidP="00042D18">
      <w:pPr>
        <w:pStyle w:val="ListParagraph"/>
        <w:numPr>
          <w:ilvl w:val="0"/>
          <w:numId w:val="34"/>
        </w:numPr>
        <w:contextualSpacing w:val="0"/>
      </w:pPr>
      <w:r w:rsidRPr="006E1F2D">
        <w:t>History of intolerance to an oral bisphosphonate</w:t>
      </w:r>
    </w:p>
    <w:p w14:paraId="6EA0B666" w14:textId="3509A216" w:rsidR="006E1F2D" w:rsidRPr="006E1F2D" w:rsidRDefault="006E1F2D" w:rsidP="006E1F2D">
      <w:pPr>
        <w:pStyle w:val="Heading3"/>
      </w:pPr>
      <w:r w:rsidRPr="006E1F2D">
        <w:t>Appendix B</w:t>
      </w:r>
      <w:r w:rsidR="00C428B2">
        <w:t>:</w:t>
      </w:r>
      <w:r w:rsidRPr="006E1F2D">
        <w:t xml:space="preserve"> FRAX Fracture Risk Assessment Tool</w:t>
      </w:r>
      <w:r w:rsidR="00FD7857">
        <w:rPr>
          <w:vertAlign w:val="superscript"/>
        </w:rPr>
        <w:t>1</w:t>
      </w:r>
      <w:r w:rsidR="00B861CB">
        <w:rPr>
          <w:vertAlign w:val="superscript"/>
        </w:rPr>
        <w:t>2</w:t>
      </w:r>
      <w:r w:rsidRPr="006E1F2D">
        <w:rPr>
          <w:vertAlign w:val="superscript"/>
        </w:rPr>
        <w:t>-1</w:t>
      </w:r>
      <w:r w:rsidR="00B861CB">
        <w:rPr>
          <w:vertAlign w:val="superscript"/>
        </w:rPr>
        <w:t>4</w:t>
      </w:r>
    </w:p>
    <w:p w14:paraId="26825D71" w14:textId="6464F198" w:rsidR="006E1F2D" w:rsidRPr="006E1F2D" w:rsidRDefault="006E1F2D" w:rsidP="7712EA45">
      <w:pPr>
        <w:pStyle w:val="ListParagraph"/>
      </w:pPr>
      <w:r>
        <w:t xml:space="preserve">High FRAX fracture probability: 10-year major osteoporosis-related fracture risk </w:t>
      </w:r>
      <w:r w:rsidRPr="7712EA45">
        <w:rPr>
          <w:rFonts w:ascii="Arial" w:hAnsi="Arial"/>
        </w:rPr>
        <w:t>≥</w:t>
      </w:r>
      <w:r>
        <w:t xml:space="preserve"> 20% or hip fracture risk </w:t>
      </w:r>
      <w:r w:rsidRPr="7712EA45">
        <w:rPr>
          <w:rFonts w:ascii="Arial" w:hAnsi="Arial"/>
        </w:rPr>
        <w:t>≥</w:t>
      </w:r>
      <w:r>
        <w:t xml:space="preserve"> 3%</w:t>
      </w:r>
    </w:p>
    <w:p w14:paraId="72479196" w14:textId="6B5F5D8F" w:rsidR="006E1F2D" w:rsidRPr="006E1F2D" w:rsidRDefault="006E1F2D" w:rsidP="7712EA45">
      <w:pPr>
        <w:pStyle w:val="ListParagraph"/>
      </w:pPr>
      <w:r>
        <w:t>10-year probability; calculation tool available at: https://</w:t>
      </w:r>
      <w:r w:rsidR="00E24C60">
        <w:t>frax.</w:t>
      </w:r>
      <w:r>
        <w:t>shef.ac.uk/FRAX/</w:t>
      </w:r>
    </w:p>
    <w:p w14:paraId="5BCB29DD" w14:textId="0F953DF2" w:rsidR="00D82279" w:rsidRPr="00AB0812" w:rsidRDefault="006E1F2D" w:rsidP="002E08EF">
      <w:pPr>
        <w:pStyle w:val="ListParagraph"/>
        <w:numPr>
          <w:ilvl w:val="0"/>
          <w:numId w:val="37"/>
        </w:numPr>
      </w:pPr>
      <w:r>
        <w:t>The estimated risk score generated with FRAX should be multiplied by 1.15 for major osteoporotic fracture (including fractures of the spine [clinical], hip, wrist, or humerus) and 1.2 for hip fracture if glucocorticoid treatment is greater than 7.5 mg (prednisone equivalent) per day</w:t>
      </w: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</w:p>
    <w:p w14:paraId="6BB95BBF" w14:textId="780B296B" w:rsidR="002B2F5E" w:rsidRDefault="002B2F5E" w:rsidP="002B2F5E">
      <w:pPr>
        <w:pStyle w:val="Heading2"/>
      </w:pPr>
      <w:r>
        <w:t>References</w:t>
      </w:r>
    </w:p>
    <w:p w14:paraId="0A43E4F6" w14:textId="111F537A" w:rsidR="007F1B76" w:rsidRDefault="007F1B76" w:rsidP="002B2F5E">
      <w:pPr>
        <w:pStyle w:val="ReferenceOrdered"/>
      </w:pPr>
      <w:r>
        <w:t>Prolia [ package insert]. Thousand Oaks, CA: Amgen Inc.; March 2024.</w:t>
      </w:r>
    </w:p>
    <w:p w14:paraId="57513282" w14:textId="7C1F9BA2" w:rsidR="00B861CB" w:rsidRDefault="00B861CB" w:rsidP="002B2F5E">
      <w:pPr>
        <w:pStyle w:val="ReferenceOrdered"/>
      </w:pPr>
      <w:proofErr w:type="spellStart"/>
      <w:r>
        <w:t>Conexxence</w:t>
      </w:r>
      <w:proofErr w:type="spellEnd"/>
      <w:r>
        <w:t xml:space="preserve"> [package insert]. Lake Zurich, IL: Fresenius </w:t>
      </w:r>
      <w:proofErr w:type="spellStart"/>
      <w:r>
        <w:t>Kabi</w:t>
      </w:r>
      <w:proofErr w:type="spellEnd"/>
      <w:r>
        <w:t xml:space="preserve"> USA, LLC; March 2025</w:t>
      </w:r>
    </w:p>
    <w:p w14:paraId="7DE7B524" w14:textId="6DD2B552" w:rsidR="002B2F5E" w:rsidRDefault="002B2F5E" w:rsidP="002B2F5E">
      <w:pPr>
        <w:pStyle w:val="ReferenceOrdered"/>
      </w:pPr>
      <w:proofErr w:type="spellStart"/>
      <w:r>
        <w:t>Jubbonti</w:t>
      </w:r>
      <w:proofErr w:type="spellEnd"/>
      <w:r>
        <w:t xml:space="preserve"> [package insert]. Princeton, NJ: Sandoz Inc.; March 2024.</w:t>
      </w:r>
    </w:p>
    <w:p w14:paraId="311C4C15" w14:textId="3081E7E6" w:rsidR="00BD7586" w:rsidRDefault="00BD7586" w:rsidP="002B2F5E">
      <w:pPr>
        <w:pStyle w:val="ReferenceOrdered"/>
      </w:pPr>
      <w:proofErr w:type="spellStart"/>
      <w:r>
        <w:t>Ospomyv</w:t>
      </w:r>
      <w:proofErr w:type="spellEnd"/>
      <w:r>
        <w:t xml:space="preserve"> [</w:t>
      </w:r>
      <w:r w:rsidR="00990F35">
        <w:t>package insert].</w:t>
      </w:r>
      <w:r w:rsidR="00C96A1F">
        <w:t xml:space="preserve"> Incheon, South Korea: Samsung </w:t>
      </w:r>
      <w:proofErr w:type="spellStart"/>
      <w:r w:rsidR="00C96A1F">
        <w:t>Bioepis</w:t>
      </w:r>
      <w:proofErr w:type="spellEnd"/>
      <w:r w:rsidR="005D5CF5">
        <w:t>;</w:t>
      </w:r>
      <w:r w:rsidR="00476C25">
        <w:t xml:space="preserve"> February 2025.</w:t>
      </w:r>
    </w:p>
    <w:p w14:paraId="0024E823" w14:textId="42BDB986" w:rsidR="0010523B" w:rsidRDefault="0010523B" w:rsidP="002B2F5E">
      <w:pPr>
        <w:pStyle w:val="ReferenceOrdered"/>
      </w:pPr>
      <w:proofErr w:type="spellStart"/>
      <w:r>
        <w:t>Stoboclo</w:t>
      </w:r>
      <w:proofErr w:type="spellEnd"/>
      <w:r>
        <w:t xml:space="preserve"> [package insert. Incheon, South Korea: Celltrion Inc.; February 2025.</w:t>
      </w:r>
    </w:p>
    <w:p w14:paraId="165C441C" w14:textId="55355EE2" w:rsidR="002B2F5E" w:rsidRDefault="002B2F5E" w:rsidP="002B2F5E">
      <w:pPr>
        <w:pStyle w:val="ReferenceOrdered"/>
      </w:pPr>
      <w:r>
        <w:t xml:space="preserve">The NCCN Drugs &amp; Biologics </w:t>
      </w:r>
      <w:r w:rsidRPr="7712EA45">
        <w:t>Compendium® 202</w:t>
      </w:r>
      <w:r w:rsidR="005D5CF5">
        <w:t>5</w:t>
      </w:r>
      <w:r>
        <w:t xml:space="preserve"> National Comprehensive Cancer Network, Inc. </w:t>
      </w:r>
      <w:r w:rsidRPr="002E08EF">
        <w:t>http://www.nccn.org</w:t>
      </w:r>
      <w:r>
        <w:t xml:space="preserve">. Accessed </w:t>
      </w:r>
      <w:r w:rsidR="0046600B">
        <w:t>April</w:t>
      </w:r>
      <w:r>
        <w:t xml:space="preserve"> </w:t>
      </w:r>
      <w:r w:rsidR="0046600B">
        <w:t>8</w:t>
      </w:r>
      <w:r>
        <w:t>, 202</w:t>
      </w:r>
      <w:r w:rsidR="0046600B">
        <w:t>5</w:t>
      </w:r>
      <w:r>
        <w:t>.</w:t>
      </w:r>
    </w:p>
    <w:p w14:paraId="35D0785C" w14:textId="4C1F4C86" w:rsidR="0091216A" w:rsidRDefault="0091216A" w:rsidP="002B2F5E">
      <w:pPr>
        <w:pStyle w:val="ReferenceOrdered"/>
      </w:pPr>
      <w:proofErr w:type="spellStart"/>
      <w:r>
        <w:t>LeBoff</w:t>
      </w:r>
      <w:proofErr w:type="spellEnd"/>
      <w:r>
        <w:t xml:space="preserve"> MS, Greenspan SL, </w:t>
      </w:r>
      <w:proofErr w:type="spellStart"/>
      <w:r w:rsidR="005D7C45">
        <w:t>Insogna</w:t>
      </w:r>
      <w:proofErr w:type="spellEnd"/>
      <w:r w:rsidR="005D7C45">
        <w:t xml:space="preserve"> KL, et al. The clinician’s guide to prevention and treatment of osteoporosis. </w:t>
      </w:r>
      <w:proofErr w:type="spellStart"/>
      <w:r w:rsidR="005D7C45">
        <w:t>Osteoporos</w:t>
      </w:r>
      <w:proofErr w:type="spellEnd"/>
      <w:r w:rsidR="005D7C45">
        <w:t xml:space="preserve"> Int. 2022;33(10):2049-2102.</w:t>
      </w:r>
    </w:p>
    <w:p w14:paraId="1CCF28F1" w14:textId="60B6DF5F" w:rsidR="005D7C45" w:rsidRDefault="005D7C45" w:rsidP="002B2F5E">
      <w:pPr>
        <w:pStyle w:val="ReferenceOrdered"/>
      </w:pPr>
      <w:r>
        <w:t xml:space="preserve">Camacho PM, </w:t>
      </w:r>
      <w:proofErr w:type="spellStart"/>
      <w:r>
        <w:t>Petak</w:t>
      </w:r>
      <w:proofErr w:type="spellEnd"/>
      <w:r>
        <w:t xml:space="preserve"> SM, Binkley N, et al. American Association of Clinical Endocrinologists/American College of Endocrinology Clinical Practice Guidelines for the Diagnosis and Treatment of Postmenopausal Osteoporosis-2020 update. </w:t>
      </w:r>
      <w:proofErr w:type="spellStart"/>
      <w:r>
        <w:t>Endocr</w:t>
      </w:r>
      <w:proofErr w:type="spellEnd"/>
      <w:r>
        <w:t xml:space="preserve"> </w:t>
      </w:r>
      <w:proofErr w:type="spellStart"/>
      <w:r>
        <w:t>Pract</w:t>
      </w:r>
      <w:proofErr w:type="spellEnd"/>
      <w:r>
        <w:t>. 2020;26 (Suppl 1):1-46.</w:t>
      </w:r>
    </w:p>
    <w:p w14:paraId="6B19C8D0" w14:textId="20E8689F" w:rsidR="005D7C45" w:rsidRDefault="005D7C45" w:rsidP="005D7C45">
      <w:pPr>
        <w:pStyle w:val="ReferenceOrdered"/>
      </w:pPr>
      <w:proofErr w:type="spellStart"/>
      <w:r>
        <w:t>Shoback</w:t>
      </w:r>
      <w:proofErr w:type="spellEnd"/>
      <w:r>
        <w:t xml:space="preserve"> D, Rosen CJ, Black DM, et al. Pharmacological Management of Osteoporosis in Postmenopausal Women: An Endocrine Society Clinical Practice Guideline. J Clin Endocrinol </w:t>
      </w:r>
      <w:proofErr w:type="spellStart"/>
      <w:r>
        <w:t>Metab</w:t>
      </w:r>
      <w:proofErr w:type="spellEnd"/>
      <w:r>
        <w:t>. 2020;105(3):587-594.</w:t>
      </w:r>
    </w:p>
    <w:p w14:paraId="1EBA3613" w14:textId="45BBE006" w:rsidR="005D7C45" w:rsidRDefault="005D7C45" w:rsidP="005D7C45">
      <w:pPr>
        <w:pStyle w:val="ReferenceOrdered"/>
      </w:pPr>
      <w:r>
        <w:t>Carey JJ. What is a ‘failure’ of bisphosphonate therapy for osteoporosis? Cleve Clin J of Med. 2005;72(11):1033-1039.</w:t>
      </w:r>
    </w:p>
    <w:p w14:paraId="6D6BF3D3" w14:textId="3425E484" w:rsidR="005D7C45" w:rsidRDefault="005D7C45" w:rsidP="005D7C45">
      <w:pPr>
        <w:pStyle w:val="ReferenceOrdered"/>
      </w:pPr>
      <w:r>
        <w:t xml:space="preserve">Watts NB, Adler RA, </w:t>
      </w:r>
      <w:proofErr w:type="spellStart"/>
      <w:r>
        <w:t>Bilezikian</w:t>
      </w:r>
      <w:proofErr w:type="spellEnd"/>
      <w:r>
        <w:t xml:space="preserve"> JP, et al. Osteoporosis in men: an Endocrine Society clinical practice guideline. J Clin </w:t>
      </w:r>
      <w:proofErr w:type="spellStart"/>
      <w:r>
        <w:t>Endocr</w:t>
      </w:r>
      <w:proofErr w:type="spellEnd"/>
      <w:r>
        <w:t xml:space="preserve"> </w:t>
      </w:r>
      <w:proofErr w:type="spellStart"/>
      <w:r>
        <w:t>Metab</w:t>
      </w:r>
      <w:proofErr w:type="spellEnd"/>
      <w:r>
        <w:t>. 2012;97(6):1802-1822.</w:t>
      </w:r>
    </w:p>
    <w:p w14:paraId="4A7DA932" w14:textId="7BDE2695" w:rsidR="005D7C45" w:rsidRDefault="005D7C45" w:rsidP="005D7C45">
      <w:pPr>
        <w:pStyle w:val="ReferenceOrdered"/>
      </w:pPr>
      <w:proofErr w:type="spellStart"/>
      <w:r>
        <w:lastRenderedPageBreak/>
        <w:t>Gralow</w:t>
      </w:r>
      <w:proofErr w:type="spellEnd"/>
      <w:r>
        <w:t xml:space="preserve"> JR, Biermann JS, </w:t>
      </w:r>
      <w:proofErr w:type="spellStart"/>
      <w:r>
        <w:t>Farooki</w:t>
      </w:r>
      <w:proofErr w:type="spellEnd"/>
      <w:r>
        <w:t xml:space="preserve"> A, et al. NCCN Task Force Report: Bone Health in Cancer Care. J Natl </w:t>
      </w:r>
      <w:proofErr w:type="spellStart"/>
      <w:r>
        <w:t>Compr</w:t>
      </w:r>
      <w:proofErr w:type="spellEnd"/>
      <w:r>
        <w:t xml:space="preserve"> </w:t>
      </w:r>
      <w:proofErr w:type="spellStart"/>
      <w:r>
        <w:t>Canc</w:t>
      </w:r>
      <w:proofErr w:type="spellEnd"/>
      <w:r>
        <w:t xml:space="preserve"> New. 2013;11(Suppl 3):S1-50.</w:t>
      </w:r>
    </w:p>
    <w:p w14:paraId="283F377B" w14:textId="521BE164" w:rsidR="005D7C45" w:rsidRDefault="005D7C45" w:rsidP="005D7C45">
      <w:pPr>
        <w:pStyle w:val="ReferenceOrdered"/>
      </w:pPr>
      <w:r>
        <w:t>FRAX® Fracture Risk Assessment Tool. ©</w:t>
      </w:r>
      <w:r w:rsidR="73801521">
        <w:t xml:space="preserve"> Centre for Metabolic Bone Diseases, University of Sheffield, UK</w:t>
      </w:r>
      <w:r>
        <w:t xml:space="preserve">. Available at: </w:t>
      </w:r>
      <w:r w:rsidRPr="002E08EF">
        <w:t>https:/</w:t>
      </w:r>
      <w:r w:rsidR="003B582D">
        <w:t>/</w:t>
      </w:r>
      <w:r w:rsidR="0012708A">
        <w:t>frax.</w:t>
      </w:r>
      <w:r w:rsidR="2387FF9E">
        <w:t>shef.ac.uk/FRAX</w:t>
      </w:r>
      <w:r w:rsidR="006B1E0B">
        <w:t>/</w:t>
      </w:r>
      <w:r>
        <w:t>. Accessed October 8, 2024.</w:t>
      </w:r>
    </w:p>
    <w:p w14:paraId="428E35DF" w14:textId="43C6977C" w:rsidR="005D7C45" w:rsidRDefault="005D7C45" w:rsidP="005D7C45">
      <w:pPr>
        <w:pStyle w:val="ReferenceOrdered"/>
      </w:pPr>
      <w:r>
        <w:t xml:space="preserve">Humphrey MB, Russell L, Danila MI, et al. 2022 American College of Rheumatology Guideline for the Prevention and Treatment of Glucocorticoid-Induced Osteoporosis. Arthritis </w:t>
      </w:r>
      <w:proofErr w:type="spellStart"/>
      <w:r>
        <w:t>Rheumatol</w:t>
      </w:r>
      <w:proofErr w:type="spellEnd"/>
      <w:r>
        <w:t>. 2023;75(12):2088-2012.</w:t>
      </w:r>
    </w:p>
    <w:p w14:paraId="5987C296" w14:textId="011B9B85" w:rsidR="007D314E" w:rsidRDefault="007D314E" w:rsidP="005D7C45">
      <w:pPr>
        <w:pStyle w:val="ReferenceOrdered"/>
      </w:pPr>
      <w:proofErr w:type="spellStart"/>
      <w:r>
        <w:t>Ensrud</w:t>
      </w:r>
      <w:proofErr w:type="spellEnd"/>
      <w:r>
        <w:t xml:space="preserve"> KE, Crandall CJ. Osteoporosis. Ann Intern Med. 2017;167(03):ITC17-ITC32.</w:t>
      </w:r>
    </w:p>
    <w:sectPr w:rsidR="007D314E" w:rsidSect="00EE321E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8795A" w14:textId="77777777" w:rsidR="006E2E36" w:rsidRDefault="006E2E36">
      <w:r>
        <w:separator/>
      </w:r>
    </w:p>
  </w:endnote>
  <w:endnote w:type="continuationSeparator" w:id="0">
    <w:p w14:paraId="09AEEA96" w14:textId="77777777" w:rsidR="006E2E36" w:rsidRDefault="006E2E36">
      <w:r>
        <w:continuationSeparator/>
      </w:r>
    </w:p>
  </w:endnote>
  <w:endnote w:type="continuationNotice" w:id="1">
    <w:p w14:paraId="03600787" w14:textId="77777777" w:rsidR="006E2E36" w:rsidRDefault="006E2E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3BBB0DC7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A16AF8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FE26B6" w:rsidRPr="00FE26B6">
      <w:rPr>
        <w:rFonts w:cs="Arial"/>
        <w:noProof/>
        <w:sz w:val="16"/>
        <w:szCs w:val="16"/>
      </w:rPr>
      <w:t>Prolia</w:t>
    </w:r>
    <w:r w:rsidR="00FE26B6">
      <w:rPr>
        <w:rFonts w:cs="Arial"/>
        <w:noProof/>
        <w:snapToGrid w:val="0"/>
        <w:color w:val="000000"/>
        <w:sz w:val="16"/>
        <w:szCs w:val="16"/>
      </w:rPr>
      <w:t xml:space="preserve"> and Biosimilars </w:t>
    </w:r>
    <w:r w:rsidR="00FE26B6" w:rsidRPr="00FE26B6">
      <w:rPr>
        <w:rFonts w:cs="Arial"/>
        <w:noProof/>
        <w:sz w:val="16"/>
        <w:szCs w:val="16"/>
      </w:rPr>
      <w:t>SGM 2026-A P2024b.docx</w:t>
    </w:r>
    <w:r w:rsidRPr="00EC47B6">
      <w:rPr>
        <w:rFonts w:cs="Arial"/>
        <w:noProof/>
        <w:sz w:val="16"/>
        <w:szCs w:val="16"/>
      </w:rPr>
      <w:fldChar w:fldCharType="end"/>
    </w:r>
    <w:r w:rsidRPr="00A16AF8">
      <w:rPr>
        <w:rFonts w:cs="Arial"/>
        <w:snapToGrid w:val="0"/>
        <w:color w:val="000000"/>
        <w:sz w:val="16"/>
      </w:rPr>
      <w:tab/>
      <w:t>© 202</w:t>
    </w:r>
    <w:r w:rsidR="00FD7857">
      <w:rPr>
        <w:rFonts w:cs="Arial"/>
        <w:snapToGrid w:val="0"/>
        <w:color w:val="000000"/>
        <w:sz w:val="16"/>
      </w:rPr>
      <w:t>5</w:t>
    </w:r>
    <w:r w:rsidRPr="00A16AF8">
      <w:rPr>
        <w:rFonts w:cs="Arial"/>
        <w:snapToGrid w:val="0"/>
        <w:color w:val="000000"/>
        <w:sz w:val="16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61CF5924" w14:textId="77777777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 xml:space="preserve">. </w:t>
    </w:r>
  </w:p>
  <w:p w14:paraId="0DF8DEBC" w14:textId="5E3A0413" w:rsidR="00F75C81" w:rsidRPr="00AA1E6A" w:rsidRDefault="00C36B72" w:rsidP="002E08E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059EA160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A16AF8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FE26B6" w:rsidRPr="00FE26B6">
      <w:rPr>
        <w:rFonts w:cs="Arial"/>
        <w:noProof/>
        <w:sz w:val="16"/>
        <w:szCs w:val="16"/>
      </w:rPr>
      <w:t>Prolia</w:t>
    </w:r>
    <w:r w:rsidR="00FE26B6">
      <w:rPr>
        <w:rFonts w:cs="Arial"/>
        <w:noProof/>
        <w:snapToGrid w:val="0"/>
        <w:color w:val="000000"/>
        <w:sz w:val="16"/>
        <w:szCs w:val="16"/>
      </w:rPr>
      <w:t xml:space="preserve"> and Biosimilars </w:t>
    </w:r>
    <w:r w:rsidR="00FE26B6" w:rsidRPr="00FE26B6">
      <w:rPr>
        <w:rFonts w:cs="Arial"/>
        <w:noProof/>
        <w:sz w:val="16"/>
        <w:szCs w:val="16"/>
      </w:rPr>
      <w:t>SGM 2026-A P2024b.docx</w:t>
    </w:r>
    <w:r w:rsidRPr="00EC47B6">
      <w:rPr>
        <w:rFonts w:cs="Arial"/>
        <w:noProof/>
        <w:sz w:val="16"/>
        <w:szCs w:val="16"/>
      </w:rPr>
      <w:fldChar w:fldCharType="end"/>
    </w:r>
    <w:r w:rsidRPr="00A16AF8">
      <w:rPr>
        <w:rFonts w:cs="Arial"/>
        <w:snapToGrid w:val="0"/>
        <w:color w:val="000000"/>
        <w:sz w:val="16"/>
      </w:rPr>
      <w:tab/>
      <w:t>© 202</w:t>
    </w:r>
    <w:r w:rsidR="00FD7857">
      <w:rPr>
        <w:rFonts w:cs="Arial"/>
        <w:snapToGrid w:val="0"/>
        <w:color w:val="000000"/>
        <w:sz w:val="16"/>
      </w:rPr>
      <w:t>5</w:t>
    </w:r>
    <w:r w:rsidRPr="00A16AF8">
      <w:rPr>
        <w:rFonts w:cs="Arial"/>
        <w:snapToGrid w:val="0"/>
        <w:color w:val="000000"/>
        <w:sz w:val="16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77777777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 xml:space="preserve">. </w:t>
    </w:r>
  </w:p>
  <w:p w14:paraId="64F317B8" w14:textId="6F676D3D" w:rsidR="00ED04EC" w:rsidRPr="00F50D98" w:rsidRDefault="00F50D98" w:rsidP="002E08E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8C86B" w14:textId="1B370E0D" w:rsidR="00A53FC3" w:rsidRPr="00F50D98" w:rsidRDefault="00A53FC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3A27E" w14:textId="77777777" w:rsidR="006E2E36" w:rsidRDefault="006E2E36">
      <w:r>
        <w:separator/>
      </w:r>
    </w:p>
  </w:footnote>
  <w:footnote w:type="continuationSeparator" w:id="0">
    <w:p w14:paraId="1A281B81" w14:textId="77777777" w:rsidR="006E2E36" w:rsidRDefault="006E2E36">
      <w:r>
        <w:continuationSeparator/>
      </w:r>
    </w:p>
  </w:footnote>
  <w:footnote w:type="continuationNotice" w:id="1">
    <w:p w14:paraId="032D8134" w14:textId="77777777" w:rsidR="006E2E36" w:rsidRDefault="006E2E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B05106" w:rsidRDefault="00ED04EC" w:rsidP="00B05106">
          <w:pPr>
            <w:pStyle w:val="RefTableData"/>
          </w:pPr>
          <w:r w:rsidRPr="00B05106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7A6C2FF4" w:rsidR="00ED04EC" w:rsidRPr="00B05106" w:rsidRDefault="00A53FC3" w:rsidP="00B05106">
          <w:pPr>
            <w:pStyle w:val="RefTableData"/>
          </w:pPr>
          <w:r w:rsidRPr="00B05106">
            <w:t>2026-A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A53FC3" w:rsidRPr="00ED04EC" w14:paraId="647FA887" w14:textId="77777777" w:rsidTr="002D61A4">
      <w:trPr>
        <w:trHeight w:val="144"/>
        <w:jc w:val="right"/>
      </w:trPr>
      <w:tc>
        <w:tcPr>
          <w:tcW w:w="1854" w:type="dxa"/>
          <w:hideMark/>
        </w:tcPr>
        <w:p w14:paraId="067F80DF" w14:textId="77777777" w:rsidR="00A53FC3" w:rsidRPr="00AA1E6A" w:rsidRDefault="00A53FC3" w:rsidP="00B05106">
          <w:pPr>
            <w:pStyle w:val="RefTableData"/>
          </w:pPr>
          <w:r w:rsidRPr="00AA1E6A">
            <w:t>Reference number(s)</w:t>
          </w:r>
        </w:p>
      </w:tc>
    </w:tr>
    <w:tr w:rsidR="00A53FC3" w:rsidRPr="00ED04EC" w14:paraId="5F28B35E" w14:textId="77777777" w:rsidTr="002D61A4">
      <w:trPr>
        <w:trHeight w:val="378"/>
        <w:jc w:val="right"/>
      </w:trPr>
      <w:tc>
        <w:tcPr>
          <w:tcW w:w="1854" w:type="dxa"/>
          <w:hideMark/>
        </w:tcPr>
        <w:p w14:paraId="107121C1" w14:textId="77777777" w:rsidR="00A53FC3" w:rsidRPr="004C7F1D" w:rsidRDefault="00A53FC3" w:rsidP="00B05106">
          <w:pPr>
            <w:pStyle w:val="RefTableData"/>
          </w:pPr>
          <w:r w:rsidRPr="00A53FC3">
            <w:t>2026-A</w:t>
          </w:r>
        </w:p>
      </w:tc>
    </w:tr>
  </w:tbl>
  <w:p w14:paraId="3775F737" w14:textId="77777777" w:rsidR="00A53FC3" w:rsidRPr="00AA1E6A" w:rsidRDefault="00A53FC3" w:rsidP="00A53FC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602B7E"/>
    <w:multiLevelType w:val="hybridMultilevel"/>
    <w:tmpl w:val="251646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1C61B65"/>
    <w:multiLevelType w:val="hybridMultilevel"/>
    <w:tmpl w:val="3E3E5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183CBA"/>
    <w:multiLevelType w:val="hybridMultilevel"/>
    <w:tmpl w:val="CC660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8C4359"/>
    <w:multiLevelType w:val="hybridMultilevel"/>
    <w:tmpl w:val="E0EEA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A67907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9" w15:restartNumberingAfterBreak="0">
    <w:nsid w:val="1CB63887"/>
    <w:multiLevelType w:val="hybridMultilevel"/>
    <w:tmpl w:val="AB28A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F95014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D13F0E"/>
    <w:multiLevelType w:val="hybridMultilevel"/>
    <w:tmpl w:val="8B221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FE29D8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C1567C"/>
    <w:multiLevelType w:val="hybridMultilevel"/>
    <w:tmpl w:val="23E6B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516289"/>
    <w:multiLevelType w:val="hybridMultilevel"/>
    <w:tmpl w:val="CB308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33"/>
  </w:num>
  <w:num w:numId="3" w16cid:durableId="611589570">
    <w:abstractNumId w:val="29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24"/>
  </w:num>
  <w:num w:numId="17" w16cid:durableId="2128498676">
    <w:abstractNumId w:val="36"/>
  </w:num>
  <w:num w:numId="18" w16cid:durableId="299724409">
    <w:abstractNumId w:val="30"/>
  </w:num>
  <w:num w:numId="19" w16cid:durableId="214585573">
    <w:abstractNumId w:val="18"/>
  </w:num>
  <w:num w:numId="20" w16cid:durableId="1289816170">
    <w:abstractNumId w:val="20"/>
  </w:num>
  <w:num w:numId="21" w16cid:durableId="1066490929">
    <w:abstractNumId w:val="37"/>
  </w:num>
  <w:num w:numId="22" w16cid:durableId="1472481103">
    <w:abstractNumId w:val="32"/>
  </w:num>
  <w:num w:numId="23" w16cid:durableId="1997420403">
    <w:abstractNumId w:val="34"/>
  </w:num>
  <w:num w:numId="24" w16cid:durableId="33312838">
    <w:abstractNumId w:val="31"/>
  </w:num>
  <w:num w:numId="25" w16cid:durableId="507404939">
    <w:abstractNumId w:val="23"/>
  </w:num>
  <w:num w:numId="26" w16cid:durableId="1950313333">
    <w:abstractNumId w:val="28"/>
  </w:num>
  <w:num w:numId="27" w16cid:durableId="1866016584">
    <w:abstractNumId w:val="26"/>
  </w:num>
  <w:num w:numId="28" w16cid:durableId="796602784">
    <w:abstractNumId w:val="35"/>
  </w:num>
  <w:num w:numId="29" w16cid:durableId="1723290423">
    <w:abstractNumId w:val="19"/>
  </w:num>
  <w:num w:numId="30" w16cid:durableId="1494836561">
    <w:abstractNumId w:val="22"/>
  </w:num>
  <w:num w:numId="31" w16cid:durableId="1544250511">
    <w:abstractNumId w:val="16"/>
  </w:num>
  <w:num w:numId="32" w16cid:durableId="1976256293">
    <w:abstractNumId w:val="15"/>
  </w:num>
  <w:num w:numId="33" w16cid:durableId="599339149">
    <w:abstractNumId w:val="27"/>
  </w:num>
  <w:num w:numId="34" w16cid:durableId="1105266984">
    <w:abstractNumId w:val="17"/>
  </w:num>
  <w:num w:numId="35" w16cid:durableId="36438919">
    <w:abstractNumId w:val="25"/>
  </w:num>
  <w:num w:numId="36" w16cid:durableId="1689797247">
    <w:abstractNumId w:val="21"/>
  </w:num>
  <w:num w:numId="37" w16cid:durableId="1119682979">
    <w:abstractNumId w:val="14"/>
  </w:num>
  <w:num w:numId="38" w16cid:durableId="1158153029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E56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DAF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7FA"/>
    <w:rsid w:val="00032924"/>
    <w:rsid w:val="0003572F"/>
    <w:rsid w:val="00035D7D"/>
    <w:rsid w:val="00036079"/>
    <w:rsid w:val="00037636"/>
    <w:rsid w:val="00037A95"/>
    <w:rsid w:val="00040A4D"/>
    <w:rsid w:val="0004226E"/>
    <w:rsid w:val="000425B0"/>
    <w:rsid w:val="00042D18"/>
    <w:rsid w:val="00043056"/>
    <w:rsid w:val="00043D0C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1B17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0D87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464"/>
    <w:rsid w:val="000A0CCE"/>
    <w:rsid w:val="000A1653"/>
    <w:rsid w:val="000A1ACD"/>
    <w:rsid w:val="000A2697"/>
    <w:rsid w:val="000A333F"/>
    <w:rsid w:val="000A34B0"/>
    <w:rsid w:val="000A3543"/>
    <w:rsid w:val="000A3652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5D27"/>
    <w:rsid w:val="000C625F"/>
    <w:rsid w:val="000C6C34"/>
    <w:rsid w:val="000C6FAA"/>
    <w:rsid w:val="000C7000"/>
    <w:rsid w:val="000C78EA"/>
    <w:rsid w:val="000C7B0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35D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3B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0F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6B31"/>
    <w:rsid w:val="0012705F"/>
    <w:rsid w:val="0012708A"/>
    <w:rsid w:val="00127150"/>
    <w:rsid w:val="00127475"/>
    <w:rsid w:val="00127546"/>
    <w:rsid w:val="0012768E"/>
    <w:rsid w:val="00127BF2"/>
    <w:rsid w:val="00130436"/>
    <w:rsid w:val="00130D29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182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3258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67B2C"/>
    <w:rsid w:val="00170325"/>
    <w:rsid w:val="00170703"/>
    <w:rsid w:val="00170B26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173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3649"/>
    <w:rsid w:val="001B44CC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69F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C7D"/>
    <w:rsid w:val="001E0D36"/>
    <w:rsid w:val="001E43E4"/>
    <w:rsid w:val="001E577A"/>
    <w:rsid w:val="001E582F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59B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3D0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6F78"/>
    <w:rsid w:val="002173D5"/>
    <w:rsid w:val="0022007C"/>
    <w:rsid w:val="00220916"/>
    <w:rsid w:val="00220B8D"/>
    <w:rsid w:val="00220CFC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472C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830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57060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7B9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2F5E"/>
    <w:rsid w:val="002B306F"/>
    <w:rsid w:val="002B3172"/>
    <w:rsid w:val="002B4271"/>
    <w:rsid w:val="002B45E6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5F6"/>
    <w:rsid w:val="002D49E5"/>
    <w:rsid w:val="002D5D59"/>
    <w:rsid w:val="002D61A4"/>
    <w:rsid w:val="002D6257"/>
    <w:rsid w:val="002D6987"/>
    <w:rsid w:val="002E030E"/>
    <w:rsid w:val="002E06B0"/>
    <w:rsid w:val="002E08EF"/>
    <w:rsid w:val="002E0C8E"/>
    <w:rsid w:val="002E15A0"/>
    <w:rsid w:val="002E1D9A"/>
    <w:rsid w:val="002E254D"/>
    <w:rsid w:val="002E362E"/>
    <w:rsid w:val="002E3C61"/>
    <w:rsid w:val="002E3D87"/>
    <w:rsid w:val="002E5C63"/>
    <w:rsid w:val="002E6AE1"/>
    <w:rsid w:val="002E70D9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0AB2"/>
    <w:rsid w:val="00301F62"/>
    <w:rsid w:val="00302DBD"/>
    <w:rsid w:val="003030D7"/>
    <w:rsid w:val="00304F20"/>
    <w:rsid w:val="00305223"/>
    <w:rsid w:val="0030594B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17F2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7F0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4FED"/>
    <w:rsid w:val="003357AB"/>
    <w:rsid w:val="003363E7"/>
    <w:rsid w:val="003364EB"/>
    <w:rsid w:val="00336745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4FD8"/>
    <w:rsid w:val="003656E0"/>
    <w:rsid w:val="00365992"/>
    <w:rsid w:val="00365E9F"/>
    <w:rsid w:val="003664C9"/>
    <w:rsid w:val="00366871"/>
    <w:rsid w:val="00367117"/>
    <w:rsid w:val="00367996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0E19"/>
    <w:rsid w:val="003A2056"/>
    <w:rsid w:val="003A2E60"/>
    <w:rsid w:val="003A45B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82D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A2F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035F"/>
    <w:rsid w:val="00401820"/>
    <w:rsid w:val="00402C8F"/>
    <w:rsid w:val="00402FED"/>
    <w:rsid w:val="00403087"/>
    <w:rsid w:val="004032A5"/>
    <w:rsid w:val="0040594C"/>
    <w:rsid w:val="00405C5D"/>
    <w:rsid w:val="00406A96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5FD6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535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600B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25"/>
    <w:rsid w:val="00476C5C"/>
    <w:rsid w:val="00477751"/>
    <w:rsid w:val="00480100"/>
    <w:rsid w:val="00480B9F"/>
    <w:rsid w:val="00480F2C"/>
    <w:rsid w:val="00481302"/>
    <w:rsid w:val="00481604"/>
    <w:rsid w:val="00482364"/>
    <w:rsid w:val="0048238C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5EE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23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5ED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353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6BF2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1F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1D8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545"/>
    <w:rsid w:val="005808CA"/>
    <w:rsid w:val="0058115C"/>
    <w:rsid w:val="0058173B"/>
    <w:rsid w:val="005820B6"/>
    <w:rsid w:val="00582153"/>
    <w:rsid w:val="0058216F"/>
    <w:rsid w:val="005828B5"/>
    <w:rsid w:val="00582B42"/>
    <w:rsid w:val="00583227"/>
    <w:rsid w:val="00583527"/>
    <w:rsid w:val="005837FD"/>
    <w:rsid w:val="00583907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114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CF5"/>
    <w:rsid w:val="005D5FBB"/>
    <w:rsid w:val="005D7081"/>
    <w:rsid w:val="005D72EF"/>
    <w:rsid w:val="005D767F"/>
    <w:rsid w:val="005D7947"/>
    <w:rsid w:val="005D7C45"/>
    <w:rsid w:val="005D7EA2"/>
    <w:rsid w:val="005E08B4"/>
    <w:rsid w:val="005E0BD2"/>
    <w:rsid w:val="005E1266"/>
    <w:rsid w:val="005E1D4D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5F6"/>
    <w:rsid w:val="005F3979"/>
    <w:rsid w:val="005F3DBD"/>
    <w:rsid w:val="005F3FDC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623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2B2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14"/>
    <w:rsid w:val="006252F2"/>
    <w:rsid w:val="00625730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6D2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302"/>
    <w:rsid w:val="00642734"/>
    <w:rsid w:val="00642971"/>
    <w:rsid w:val="00642BEF"/>
    <w:rsid w:val="006434FA"/>
    <w:rsid w:val="00643E65"/>
    <w:rsid w:val="00643E90"/>
    <w:rsid w:val="006447C5"/>
    <w:rsid w:val="00644C48"/>
    <w:rsid w:val="0064565D"/>
    <w:rsid w:val="00645B20"/>
    <w:rsid w:val="00645D4F"/>
    <w:rsid w:val="00647646"/>
    <w:rsid w:val="0065036F"/>
    <w:rsid w:val="00650ADD"/>
    <w:rsid w:val="00651A0C"/>
    <w:rsid w:val="00651CAA"/>
    <w:rsid w:val="00652357"/>
    <w:rsid w:val="006525F5"/>
    <w:rsid w:val="00652D56"/>
    <w:rsid w:val="006534AA"/>
    <w:rsid w:val="00653B49"/>
    <w:rsid w:val="006553BB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77C61"/>
    <w:rsid w:val="006801C0"/>
    <w:rsid w:val="0068254A"/>
    <w:rsid w:val="006827B6"/>
    <w:rsid w:val="00683327"/>
    <w:rsid w:val="00683AAE"/>
    <w:rsid w:val="00683C7C"/>
    <w:rsid w:val="00684284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0C94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00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1E0B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C7B0F"/>
    <w:rsid w:val="006D00F3"/>
    <w:rsid w:val="006D0FA8"/>
    <w:rsid w:val="006D1263"/>
    <w:rsid w:val="006D171C"/>
    <w:rsid w:val="006D21AA"/>
    <w:rsid w:val="006D23BA"/>
    <w:rsid w:val="006D24CA"/>
    <w:rsid w:val="006D2A42"/>
    <w:rsid w:val="006D2AE6"/>
    <w:rsid w:val="006D341B"/>
    <w:rsid w:val="006D3542"/>
    <w:rsid w:val="006D4EA6"/>
    <w:rsid w:val="006D5240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1F2D"/>
    <w:rsid w:val="006E28B1"/>
    <w:rsid w:val="006E2E36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4705"/>
    <w:rsid w:val="006F53D8"/>
    <w:rsid w:val="006F5F82"/>
    <w:rsid w:val="006F6AD5"/>
    <w:rsid w:val="006F7127"/>
    <w:rsid w:val="00700342"/>
    <w:rsid w:val="007006E7"/>
    <w:rsid w:val="00701784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32A1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27DAD"/>
    <w:rsid w:val="0073079A"/>
    <w:rsid w:val="00731FCA"/>
    <w:rsid w:val="007325C8"/>
    <w:rsid w:val="00732B93"/>
    <w:rsid w:val="0073324D"/>
    <w:rsid w:val="0073362E"/>
    <w:rsid w:val="00735381"/>
    <w:rsid w:val="00735FFC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011F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4EC"/>
    <w:rsid w:val="00760B2C"/>
    <w:rsid w:val="007622EA"/>
    <w:rsid w:val="007627F6"/>
    <w:rsid w:val="007628DE"/>
    <w:rsid w:val="00762AE4"/>
    <w:rsid w:val="00762DDD"/>
    <w:rsid w:val="0076331A"/>
    <w:rsid w:val="00763DBE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AE7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3829"/>
    <w:rsid w:val="007A46FF"/>
    <w:rsid w:val="007A56B7"/>
    <w:rsid w:val="007A5CEC"/>
    <w:rsid w:val="007A61F8"/>
    <w:rsid w:val="007A7386"/>
    <w:rsid w:val="007A74AE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43A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01F0"/>
    <w:rsid w:val="007D151B"/>
    <w:rsid w:val="007D1C72"/>
    <w:rsid w:val="007D1E64"/>
    <w:rsid w:val="007D223D"/>
    <w:rsid w:val="007D314E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851"/>
    <w:rsid w:val="007E4AD4"/>
    <w:rsid w:val="007E5C16"/>
    <w:rsid w:val="007E5C40"/>
    <w:rsid w:val="007E7B46"/>
    <w:rsid w:val="007F02C3"/>
    <w:rsid w:val="007F11E6"/>
    <w:rsid w:val="007F1B7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5D8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B7A"/>
    <w:rsid w:val="00826FDC"/>
    <w:rsid w:val="008308BE"/>
    <w:rsid w:val="00830CE5"/>
    <w:rsid w:val="008313C2"/>
    <w:rsid w:val="0083205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0F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678E1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5C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2B26"/>
    <w:rsid w:val="008A4526"/>
    <w:rsid w:val="008A4B15"/>
    <w:rsid w:val="008A4CB3"/>
    <w:rsid w:val="008A4FDA"/>
    <w:rsid w:val="008A54AF"/>
    <w:rsid w:val="008A5C29"/>
    <w:rsid w:val="008A61A8"/>
    <w:rsid w:val="008A64CF"/>
    <w:rsid w:val="008A6FD3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4EA6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6F3"/>
    <w:rsid w:val="008B7B4F"/>
    <w:rsid w:val="008B7F2F"/>
    <w:rsid w:val="008C0ECB"/>
    <w:rsid w:val="008C1818"/>
    <w:rsid w:val="008C30A0"/>
    <w:rsid w:val="008C3173"/>
    <w:rsid w:val="008C3DF1"/>
    <w:rsid w:val="008C3FD7"/>
    <w:rsid w:val="008C42FB"/>
    <w:rsid w:val="008C45B6"/>
    <w:rsid w:val="008C54D9"/>
    <w:rsid w:val="008C5E4C"/>
    <w:rsid w:val="008D0F23"/>
    <w:rsid w:val="008D1B34"/>
    <w:rsid w:val="008D2560"/>
    <w:rsid w:val="008D2B93"/>
    <w:rsid w:val="008D31AD"/>
    <w:rsid w:val="008D3802"/>
    <w:rsid w:val="008D3BF3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0A95"/>
    <w:rsid w:val="0090242B"/>
    <w:rsid w:val="00902C41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16A"/>
    <w:rsid w:val="00912436"/>
    <w:rsid w:val="00912CD1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2BC"/>
    <w:rsid w:val="00923558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23E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293"/>
    <w:rsid w:val="009767B4"/>
    <w:rsid w:val="00976A11"/>
    <w:rsid w:val="00977BCF"/>
    <w:rsid w:val="00977F49"/>
    <w:rsid w:val="00980065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0604"/>
    <w:rsid w:val="00990F35"/>
    <w:rsid w:val="009911F3"/>
    <w:rsid w:val="00991319"/>
    <w:rsid w:val="00992076"/>
    <w:rsid w:val="0099268B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1EB6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777"/>
    <w:rsid w:val="009C0A23"/>
    <w:rsid w:val="009C2E32"/>
    <w:rsid w:val="009C3C50"/>
    <w:rsid w:val="009C4B9D"/>
    <w:rsid w:val="009C4E1E"/>
    <w:rsid w:val="009C514C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0AA2"/>
    <w:rsid w:val="00A11268"/>
    <w:rsid w:val="00A11ADE"/>
    <w:rsid w:val="00A1225D"/>
    <w:rsid w:val="00A12465"/>
    <w:rsid w:val="00A126E8"/>
    <w:rsid w:val="00A12A59"/>
    <w:rsid w:val="00A1366E"/>
    <w:rsid w:val="00A1485F"/>
    <w:rsid w:val="00A14BF4"/>
    <w:rsid w:val="00A14F1C"/>
    <w:rsid w:val="00A156C9"/>
    <w:rsid w:val="00A15AE5"/>
    <w:rsid w:val="00A16536"/>
    <w:rsid w:val="00A16AF8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6EB0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A36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3FC3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35A8"/>
    <w:rsid w:val="00A649CA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90C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A2A"/>
    <w:rsid w:val="00AA3F55"/>
    <w:rsid w:val="00AA46E5"/>
    <w:rsid w:val="00AA46E6"/>
    <w:rsid w:val="00AA4E3C"/>
    <w:rsid w:val="00AA5FEE"/>
    <w:rsid w:val="00AA6624"/>
    <w:rsid w:val="00AA6E94"/>
    <w:rsid w:val="00AA7217"/>
    <w:rsid w:val="00AA75C3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6DCA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109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1DF1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37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106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B8B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147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39F"/>
    <w:rsid w:val="00B84926"/>
    <w:rsid w:val="00B84F18"/>
    <w:rsid w:val="00B853B4"/>
    <w:rsid w:val="00B85C37"/>
    <w:rsid w:val="00B85D7B"/>
    <w:rsid w:val="00B860C8"/>
    <w:rsid w:val="00B861CB"/>
    <w:rsid w:val="00B86B9B"/>
    <w:rsid w:val="00B8792F"/>
    <w:rsid w:val="00B9125F"/>
    <w:rsid w:val="00B916FF"/>
    <w:rsid w:val="00B92FFE"/>
    <w:rsid w:val="00B93BBA"/>
    <w:rsid w:val="00B9422C"/>
    <w:rsid w:val="00B94445"/>
    <w:rsid w:val="00B9493B"/>
    <w:rsid w:val="00B96528"/>
    <w:rsid w:val="00B97115"/>
    <w:rsid w:val="00B976D7"/>
    <w:rsid w:val="00BA02AD"/>
    <w:rsid w:val="00BA06AE"/>
    <w:rsid w:val="00BA0AFC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4DD6"/>
    <w:rsid w:val="00BC51D6"/>
    <w:rsid w:val="00BC51E9"/>
    <w:rsid w:val="00BC58C1"/>
    <w:rsid w:val="00BC62C0"/>
    <w:rsid w:val="00BC633A"/>
    <w:rsid w:val="00BC6777"/>
    <w:rsid w:val="00BC67F7"/>
    <w:rsid w:val="00BC6D95"/>
    <w:rsid w:val="00BC79A6"/>
    <w:rsid w:val="00BD0260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D7586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4A7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1F2A"/>
    <w:rsid w:val="00C024FD"/>
    <w:rsid w:val="00C02901"/>
    <w:rsid w:val="00C02F81"/>
    <w:rsid w:val="00C0393C"/>
    <w:rsid w:val="00C04410"/>
    <w:rsid w:val="00C04991"/>
    <w:rsid w:val="00C04C79"/>
    <w:rsid w:val="00C05AC4"/>
    <w:rsid w:val="00C06539"/>
    <w:rsid w:val="00C100F8"/>
    <w:rsid w:val="00C103C4"/>
    <w:rsid w:val="00C11959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27D46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28B2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61A"/>
    <w:rsid w:val="00C638EA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897"/>
    <w:rsid w:val="00C76BA7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1351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A1F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462"/>
    <w:rsid w:val="00CC6AA8"/>
    <w:rsid w:val="00CC6B5B"/>
    <w:rsid w:val="00CC6D21"/>
    <w:rsid w:val="00CC76FA"/>
    <w:rsid w:val="00CD03D0"/>
    <w:rsid w:val="00CD04D5"/>
    <w:rsid w:val="00CD1B5B"/>
    <w:rsid w:val="00CD3C27"/>
    <w:rsid w:val="00CD4084"/>
    <w:rsid w:val="00CD4955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96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17B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2B5"/>
    <w:rsid w:val="00D5331B"/>
    <w:rsid w:val="00D5434A"/>
    <w:rsid w:val="00D55082"/>
    <w:rsid w:val="00D5579C"/>
    <w:rsid w:val="00D56213"/>
    <w:rsid w:val="00D566EA"/>
    <w:rsid w:val="00D56EB5"/>
    <w:rsid w:val="00D56FC3"/>
    <w:rsid w:val="00D578A8"/>
    <w:rsid w:val="00D6162B"/>
    <w:rsid w:val="00D63FE1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08C"/>
    <w:rsid w:val="00D7782A"/>
    <w:rsid w:val="00D77D24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279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1CFA"/>
    <w:rsid w:val="00DA29A1"/>
    <w:rsid w:val="00DA2BE1"/>
    <w:rsid w:val="00DA3D4A"/>
    <w:rsid w:val="00DA420D"/>
    <w:rsid w:val="00DA4E8A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1E22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4E30"/>
    <w:rsid w:val="00DE5343"/>
    <w:rsid w:val="00DE5BEF"/>
    <w:rsid w:val="00DE66CD"/>
    <w:rsid w:val="00DE6958"/>
    <w:rsid w:val="00DE755D"/>
    <w:rsid w:val="00DF14FB"/>
    <w:rsid w:val="00DF231C"/>
    <w:rsid w:val="00DF2B84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4C60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382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446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01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6AAC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3D5E"/>
    <w:rsid w:val="00E850F3"/>
    <w:rsid w:val="00E8686D"/>
    <w:rsid w:val="00E86A27"/>
    <w:rsid w:val="00E87749"/>
    <w:rsid w:val="00E87B42"/>
    <w:rsid w:val="00E87C7C"/>
    <w:rsid w:val="00E9178A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1D5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5274"/>
    <w:rsid w:val="00EC6172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21E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6AD3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506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BCD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4B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67E84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65F"/>
    <w:rsid w:val="00F97823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D42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387"/>
    <w:rsid w:val="00FD6A19"/>
    <w:rsid w:val="00FD75BC"/>
    <w:rsid w:val="00FD7857"/>
    <w:rsid w:val="00FD7AB8"/>
    <w:rsid w:val="00FE01AE"/>
    <w:rsid w:val="00FE057F"/>
    <w:rsid w:val="00FE06ED"/>
    <w:rsid w:val="00FE0C63"/>
    <w:rsid w:val="00FE1064"/>
    <w:rsid w:val="00FE26B6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1C24"/>
    <w:rsid w:val="00FF2F94"/>
    <w:rsid w:val="00FF3172"/>
    <w:rsid w:val="00FF35C5"/>
    <w:rsid w:val="00FF37B2"/>
    <w:rsid w:val="00FF530E"/>
    <w:rsid w:val="00FF5C3C"/>
    <w:rsid w:val="00FF66BF"/>
    <w:rsid w:val="00FF7695"/>
    <w:rsid w:val="05E2C361"/>
    <w:rsid w:val="132383EB"/>
    <w:rsid w:val="13F306E8"/>
    <w:rsid w:val="20AAF570"/>
    <w:rsid w:val="2387FF9E"/>
    <w:rsid w:val="2916E7F5"/>
    <w:rsid w:val="29729D5D"/>
    <w:rsid w:val="2F7EA81C"/>
    <w:rsid w:val="393BB457"/>
    <w:rsid w:val="3953C352"/>
    <w:rsid w:val="582777C0"/>
    <w:rsid w:val="5A7A9432"/>
    <w:rsid w:val="62C780E2"/>
    <w:rsid w:val="6D1DC6A4"/>
    <w:rsid w:val="6E0C19EF"/>
    <w:rsid w:val="6E346B2B"/>
    <w:rsid w:val="73801521"/>
    <w:rsid w:val="7712EA45"/>
    <w:rsid w:val="7763BF21"/>
    <w:rsid w:val="7832F035"/>
    <w:rsid w:val="7A379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EC60E580-02FC-424A-8A71-F8DBD6EF0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A53FC3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ce173f13-e3a2-4c5f-8c54-d0382ae88016"/>
    <ds:schemaRef ds:uri="102fadf2-6cae-45bc-95f6-bc2613b98572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DBECE2B-152B-44F8-A857-E85F4A6EC845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1384</Words>
  <Characters>8260</Characters>
  <Application>Microsoft Office Word</Application>
  <DocSecurity>0</DocSecurity>
  <Lines>250</Lines>
  <Paragraphs>224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Prolia 2026-A SGM 2023</vt:lpstr>
    </vt:vector>
  </TitlesOfParts>
  <Company/>
  <LinksUpToDate>false</LinksUpToDate>
  <CharactersWithSpaces>9420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Prolia and Biosimilars SGM 2026-A</dc:title>
  <dc:subject>Prolia and Biosimilars SGM 2026-A</dc:subject>
  <dc:creator>CVS Caremark</dc:creator>
  <cp:keywords/>
  <cp:lastModifiedBy>Ortiz, Erica M</cp:lastModifiedBy>
  <cp:revision>8</cp:revision>
  <cp:lastPrinted>2018-01-09T03:01:00Z</cp:lastPrinted>
  <dcterms:created xsi:type="dcterms:W3CDTF">2025-04-16T18:35:00Z</dcterms:created>
  <dcterms:modified xsi:type="dcterms:W3CDTF">2025-04-16T18:40:00Z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1337800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